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0B" w:rsidRDefault="00F0770B" w:rsidP="00EB0FC1">
      <w:pPr>
        <w:jc w:val="center"/>
        <w:rPr>
          <w:rFonts w:hint="cs"/>
          <w:rtl/>
        </w:rPr>
      </w:pPr>
    </w:p>
    <w:p w:rsidR="00F0770B" w:rsidRPr="00F0770B" w:rsidRDefault="00F0770B" w:rsidP="00EB0FC1">
      <w:pPr>
        <w:jc w:val="center"/>
        <w:rPr>
          <w:rFonts w:cs="Al-Mothnna"/>
          <w:color w:val="C0504D" w:themeColor="accent2"/>
          <w:rtl/>
        </w:rPr>
      </w:pPr>
      <w:r w:rsidRPr="00F0770B">
        <w:rPr>
          <w:rFonts w:cs="Al-Mothnna" w:hint="cs"/>
          <w:color w:val="C0504D" w:themeColor="accent2"/>
          <w:rtl/>
        </w:rPr>
        <w:t>تلخيص</w:t>
      </w:r>
      <w:r w:rsidRPr="00F0770B">
        <w:rPr>
          <w:rFonts w:cs="Al-Mothnna"/>
          <w:color w:val="C0504D" w:themeColor="accent2"/>
          <w:rtl/>
        </w:rPr>
        <w:t xml:space="preserve"> </w:t>
      </w:r>
      <w:r w:rsidRPr="00F0770B">
        <w:rPr>
          <w:rFonts w:cs="Al-Mothnna" w:hint="cs"/>
          <w:color w:val="C0504D" w:themeColor="accent2"/>
          <w:rtl/>
        </w:rPr>
        <w:t>لـ</w:t>
      </w:r>
      <w:r w:rsidRPr="00F0770B">
        <w:rPr>
          <w:rFonts w:cs="Al-Mothnna"/>
          <w:color w:val="C0504D" w:themeColor="accent2"/>
          <w:rtl/>
        </w:rPr>
        <w:t xml:space="preserve"> </w:t>
      </w:r>
      <w:r w:rsidRPr="00F0770B">
        <w:rPr>
          <w:rFonts w:cs="Al-Mothnna" w:hint="cs"/>
          <w:color w:val="C0504D" w:themeColor="accent2"/>
          <w:rtl/>
        </w:rPr>
        <w:t>النهر</w:t>
      </w:r>
      <w:r w:rsidRPr="00F0770B">
        <w:rPr>
          <w:rFonts w:cs="Al-Mothnna"/>
          <w:color w:val="C0504D" w:themeColor="accent2"/>
          <w:rtl/>
        </w:rPr>
        <w:t xml:space="preserve"> </w:t>
      </w:r>
      <w:r w:rsidRPr="00F0770B">
        <w:rPr>
          <w:rFonts w:cs="Al-Mothnna" w:hint="cs"/>
          <w:color w:val="C0504D" w:themeColor="accent2"/>
          <w:rtl/>
        </w:rPr>
        <w:t>الفتي</w:t>
      </w:r>
      <w:r w:rsidRPr="00F0770B">
        <w:rPr>
          <w:rFonts w:cs="Al-Mothnna"/>
          <w:color w:val="C0504D" w:themeColor="accent2"/>
          <w:rtl/>
        </w:rPr>
        <w:t xml:space="preserve"> , </w:t>
      </w:r>
      <w:r w:rsidRPr="00F0770B">
        <w:rPr>
          <w:rFonts w:cs="Al-Mothnna" w:hint="cs"/>
          <w:color w:val="C0504D" w:themeColor="accent2"/>
          <w:rtl/>
        </w:rPr>
        <w:t>النهر</w:t>
      </w:r>
      <w:r w:rsidRPr="00F0770B">
        <w:rPr>
          <w:rFonts w:cs="Al-Mothnna"/>
          <w:color w:val="C0504D" w:themeColor="accent2"/>
          <w:rtl/>
        </w:rPr>
        <w:t xml:space="preserve"> </w:t>
      </w:r>
      <w:r w:rsidRPr="00F0770B">
        <w:rPr>
          <w:rFonts w:cs="Al-Mothnna" w:hint="cs"/>
          <w:color w:val="C0504D" w:themeColor="accent2"/>
          <w:rtl/>
        </w:rPr>
        <w:t>الناضج</w:t>
      </w:r>
      <w:r w:rsidRPr="00F0770B">
        <w:rPr>
          <w:rFonts w:cs="Al-Mothnna"/>
          <w:color w:val="C0504D" w:themeColor="accent2"/>
          <w:rtl/>
        </w:rPr>
        <w:t xml:space="preserve"> . </w:t>
      </w:r>
      <w:r w:rsidRPr="00F0770B">
        <w:rPr>
          <w:rFonts w:cs="Al-Mothnna" w:hint="cs"/>
          <w:color w:val="C0504D" w:themeColor="accent2"/>
          <w:rtl/>
        </w:rPr>
        <w:t>النهر</w:t>
      </w:r>
      <w:r w:rsidRPr="00F0770B">
        <w:rPr>
          <w:rFonts w:cs="Al-Mothnna"/>
          <w:color w:val="C0504D" w:themeColor="accent2"/>
          <w:rtl/>
        </w:rPr>
        <w:t xml:space="preserve"> </w:t>
      </w:r>
      <w:r w:rsidRPr="00F0770B">
        <w:rPr>
          <w:rFonts w:cs="Al-Mothnna" w:hint="cs"/>
          <w:color w:val="C0504D" w:themeColor="accent2"/>
          <w:rtl/>
        </w:rPr>
        <w:t>الهرم</w:t>
      </w:r>
      <w:r w:rsidRPr="00F0770B">
        <w:rPr>
          <w:rFonts w:cs="Al-Mothnna"/>
          <w:color w:val="C0504D" w:themeColor="accent2"/>
          <w:rtl/>
        </w:rPr>
        <w:t xml:space="preserve"> , </w:t>
      </w:r>
      <w:r w:rsidRPr="00F0770B">
        <w:rPr>
          <w:rFonts w:cs="Al-Mothnna" w:hint="cs"/>
          <w:color w:val="C0504D" w:themeColor="accent2"/>
          <w:rtl/>
        </w:rPr>
        <w:t>النهر</w:t>
      </w:r>
      <w:r w:rsidRPr="00F0770B">
        <w:rPr>
          <w:rFonts w:cs="Al-Mothnna"/>
          <w:color w:val="C0504D" w:themeColor="accent2"/>
          <w:rtl/>
        </w:rPr>
        <w:t xml:space="preserve"> </w:t>
      </w:r>
      <w:r w:rsidRPr="00F0770B">
        <w:rPr>
          <w:rFonts w:cs="Al-Mothnna" w:hint="cs"/>
          <w:color w:val="C0504D" w:themeColor="accent2"/>
          <w:rtl/>
        </w:rPr>
        <w:t>المتجدد</w:t>
      </w:r>
    </w:p>
    <w:p w:rsidR="00F0770B" w:rsidRPr="00F0770B" w:rsidRDefault="00F0770B" w:rsidP="00EB0FC1">
      <w:pPr>
        <w:jc w:val="center"/>
        <w:rPr>
          <w:rFonts w:cs="Al-Mothnna"/>
        </w:rPr>
      </w:pPr>
    </w:p>
    <w:tbl>
      <w:tblPr>
        <w:tblStyle w:val="-2"/>
        <w:bidiVisual/>
        <w:tblW w:w="9017" w:type="dxa"/>
        <w:tblLook w:val="04A0"/>
      </w:tblPr>
      <w:tblGrid>
        <w:gridCol w:w="1803"/>
        <w:gridCol w:w="1803"/>
        <w:gridCol w:w="1803"/>
        <w:gridCol w:w="1804"/>
        <w:gridCol w:w="1804"/>
      </w:tblGrid>
      <w:tr w:rsidR="00F0770B" w:rsidTr="00F0770B">
        <w:trPr>
          <w:cnfStyle w:val="100000000000"/>
          <w:trHeight w:val="908"/>
        </w:trPr>
        <w:tc>
          <w:tcPr>
            <w:cnfStyle w:val="001000000000"/>
            <w:tcW w:w="1803" w:type="dxa"/>
          </w:tcPr>
          <w:p w:rsidR="00E35013" w:rsidRDefault="00E34F06" w:rsidP="00EB0FC1">
            <w:pPr>
              <w:jc w:val="center"/>
              <w:rPr>
                <w:rFonts w:hint="cs"/>
                <w:b w:val="0"/>
                <w:bCs w:val="0"/>
                <w:rtl/>
              </w:rPr>
            </w:pPr>
            <w:r w:rsidRPr="00E34F06">
              <w:rPr>
                <w:b w:val="0"/>
                <w:bCs w:val="0"/>
                <w:noProof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2.95pt;margin-top:-.3pt;width:88.5pt;height:43.5pt;flip:x;z-index:251658240" o:connectortype="straight">
                  <w10:wrap anchorx="page"/>
                </v:shape>
              </w:pict>
            </w:r>
            <w:r w:rsidR="00F0770B">
              <w:rPr>
                <w:rFonts w:hint="cs"/>
                <w:rtl/>
              </w:rPr>
              <w:t>النوع</w:t>
            </w:r>
          </w:p>
          <w:p w:rsidR="00EB0FC1" w:rsidRDefault="00EB0FC1" w:rsidP="00EB0FC1">
            <w:pPr>
              <w:jc w:val="center"/>
              <w:rPr>
                <w:b w:val="0"/>
                <w:bCs w:val="0"/>
                <w:rtl/>
              </w:rPr>
            </w:pPr>
          </w:p>
          <w:p w:rsidR="00EB0FC1" w:rsidRDefault="00E35013" w:rsidP="00EB0FC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وجه</w:t>
            </w:r>
          </w:p>
          <w:p w:rsidR="00E35013" w:rsidRPr="00E35013" w:rsidRDefault="00E35013" w:rsidP="00EB0FC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المقارنة</w:t>
            </w:r>
          </w:p>
        </w:tc>
        <w:tc>
          <w:tcPr>
            <w:tcW w:w="1803" w:type="dxa"/>
          </w:tcPr>
          <w:p w:rsidR="00F0770B" w:rsidRDefault="00F0770B" w:rsidP="00EB0FC1">
            <w:pPr>
              <w:jc w:val="center"/>
              <w:cnfStyle w:val="100000000000"/>
              <w:rPr>
                <w:rtl/>
              </w:rPr>
            </w:pPr>
            <w:r>
              <w:rPr>
                <w:rFonts w:hint="cs"/>
                <w:rtl/>
              </w:rPr>
              <w:t>النهر الفتي</w:t>
            </w:r>
          </w:p>
        </w:tc>
        <w:tc>
          <w:tcPr>
            <w:tcW w:w="1803" w:type="dxa"/>
          </w:tcPr>
          <w:p w:rsidR="00F0770B" w:rsidRDefault="00F0770B" w:rsidP="00EB0FC1">
            <w:pPr>
              <w:jc w:val="center"/>
              <w:cnfStyle w:val="100000000000"/>
              <w:rPr>
                <w:rtl/>
              </w:rPr>
            </w:pPr>
            <w:r>
              <w:rPr>
                <w:rFonts w:hint="cs"/>
                <w:rtl/>
              </w:rPr>
              <w:t>النهر الناضج</w:t>
            </w:r>
          </w:p>
        </w:tc>
        <w:tc>
          <w:tcPr>
            <w:tcW w:w="1804" w:type="dxa"/>
          </w:tcPr>
          <w:p w:rsidR="00F0770B" w:rsidRDefault="00F0770B" w:rsidP="00EB0FC1">
            <w:pPr>
              <w:jc w:val="center"/>
              <w:cnfStyle w:val="100000000000"/>
              <w:rPr>
                <w:rtl/>
              </w:rPr>
            </w:pPr>
            <w:r>
              <w:rPr>
                <w:rFonts w:hint="cs"/>
                <w:rtl/>
              </w:rPr>
              <w:t>النهر الهرم</w:t>
            </w:r>
          </w:p>
        </w:tc>
        <w:tc>
          <w:tcPr>
            <w:tcW w:w="1804" w:type="dxa"/>
          </w:tcPr>
          <w:p w:rsidR="00F0770B" w:rsidRDefault="00F0770B" w:rsidP="00EB0FC1">
            <w:pPr>
              <w:jc w:val="center"/>
              <w:cnfStyle w:val="100000000000"/>
              <w:rPr>
                <w:rtl/>
              </w:rPr>
            </w:pPr>
            <w:r>
              <w:rPr>
                <w:rFonts w:hint="cs"/>
                <w:rtl/>
              </w:rPr>
              <w:t>النهر المتجدد</w:t>
            </w:r>
          </w:p>
        </w:tc>
      </w:tr>
      <w:tr w:rsidR="00F0770B" w:rsidTr="00F0770B">
        <w:trPr>
          <w:cnfStyle w:val="000000100000"/>
          <w:trHeight w:val="908"/>
        </w:trPr>
        <w:tc>
          <w:tcPr>
            <w:cnfStyle w:val="001000000000"/>
            <w:tcW w:w="1803" w:type="dxa"/>
          </w:tcPr>
          <w:p w:rsidR="00F0770B" w:rsidRDefault="00F0770B" w:rsidP="00EB0FC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 التعرية أو الاستقامة</w:t>
            </w:r>
          </w:p>
        </w:tc>
        <w:tc>
          <w:tcPr>
            <w:tcW w:w="1803" w:type="dxa"/>
          </w:tcPr>
          <w:p w:rsidR="00F0770B" w:rsidRDefault="00F0770B" w:rsidP="00EB0FC1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التعرية تعمق المجرى بدلاً من توسعته .</w:t>
            </w:r>
          </w:p>
        </w:tc>
        <w:tc>
          <w:tcPr>
            <w:tcW w:w="1803" w:type="dxa"/>
          </w:tcPr>
          <w:p w:rsidR="00F0770B" w:rsidRDefault="00F0770B" w:rsidP="00EB0FC1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أوسع وقليل العمق ومتعرج .</w:t>
            </w:r>
          </w:p>
        </w:tc>
        <w:tc>
          <w:tcPr>
            <w:tcW w:w="1804" w:type="dxa"/>
          </w:tcPr>
          <w:p w:rsidR="00F0770B" w:rsidRDefault="00F0770B" w:rsidP="00EB0FC1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يرسب في مجراه الرواسب وذلك لأن قدرته على التعرية ضعيفة  , تعرجات كثيرة .</w:t>
            </w:r>
          </w:p>
        </w:tc>
        <w:tc>
          <w:tcPr>
            <w:tcW w:w="1804" w:type="dxa"/>
          </w:tcPr>
          <w:p w:rsidR="00F0770B" w:rsidRDefault="00F0770B" w:rsidP="00EB0FC1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عميق ويتكون من حركات أرضية تكتونية [ البراكين , والزلآزل ] .</w:t>
            </w:r>
          </w:p>
        </w:tc>
      </w:tr>
      <w:tr w:rsidR="00F0770B" w:rsidTr="00F0770B">
        <w:trPr>
          <w:cnfStyle w:val="000000010000"/>
          <w:trHeight w:val="908"/>
        </w:trPr>
        <w:tc>
          <w:tcPr>
            <w:cnfStyle w:val="001000000000"/>
            <w:tcW w:w="1803" w:type="dxa"/>
          </w:tcPr>
          <w:p w:rsidR="00F0770B" w:rsidRDefault="00F0770B" w:rsidP="00EB0FC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التدفق</w:t>
            </w:r>
          </w:p>
        </w:tc>
        <w:tc>
          <w:tcPr>
            <w:tcW w:w="1803" w:type="dxa"/>
          </w:tcPr>
          <w:p w:rsidR="00F0770B" w:rsidRDefault="00F0770B" w:rsidP="00EB0FC1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يتدفق بسرعة وفوق صخور صلبة وشديدة المقاومة</w:t>
            </w:r>
          </w:p>
        </w:tc>
        <w:tc>
          <w:tcPr>
            <w:tcW w:w="1803" w:type="dxa"/>
          </w:tcPr>
          <w:p w:rsidR="00F0770B" w:rsidRDefault="00F0770B" w:rsidP="00EB0FC1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أقل</w:t>
            </w:r>
          </w:p>
        </w:tc>
        <w:tc>
          <w:tcPr>
            <w:tcW w:w="1804" w:type="dxa"/>
          </w:tcPr>
          <w:p w:rsidR="00F0770B" w:rsidRDefault="00F0770B" w:rsidP="00EB0FC1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بطيء</w:t>
            </w:r>
          </w:p>
        </w:tc>
        <w:tc>
          <w:tcPr>
            <w:tcW w:w="1804" w:type="dxa"/>
          </w:tcPr>
          <w:p w:rsidR="00F0770B" w:rsidRDefault="00F0770B" w:rsidP="00EB0FC1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يتدفق بسرعة أكبر</w:t>
            </w:r>
          </w:p>
        </w:tc>
      </w:tr>
      <w:tr w:rsidR="00F0770B" w:rsidTr="00F0770B">
        <w:trPr>
          <w:cnfStyle w:val="000000100000"/>
          <w:trHeight w:val="854"/>
        </w:trPr>
        <w:tc>
          <w:tcPr>
            <w:cnfStyle w:val="001000000000"/>
            <w:tcW w:w="1803" w:type="dxa"/>
          </w:tcPr>
          <w:p w:rsidR="00F0770B" w:rsidRDefault="00F0770B" w:rsidP="00EB0FC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الانحدار</w:t>
            </w:r>
          </w:p>
        </w:tc>
        <w:tc>
          <w:tcPr>
            <w:tcW w:w="1803" w:type="dxa"/>
          </w:tcPr>
          <w:p w:rsidR="00F0770B" w:rsidRDefault="00F0770B" w:rsidP="00EB0FC1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شديد الانحدار</w:t>
            </w:r>
          </w:p>
        </w:tc>
        <w:tc>
          <w:tcPr>
            <w:tcW w:w="1803" w:type="dxa"/>
          </w:tcPr>
          <w:p w:rsidR="00F0770B" w:rsidRDefault="00F0770B" w:rsidP="00EB0FC1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أقل</w:t>
            </w:r>
          </w:p>
        </w:tc>
        <w:tc>
          <w:tcPr>
            <w:tcW w:w="1804" w:type="dxa"/>
          </w:tcPr>
          <w:p w:rsidR="00F0770B" w:rsidRDefault="00F0770B" w:rsidP="00EB0FC1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منخفض</w:t>
            </w:r>
          </w:p>
        </w:tc>
        <w:tc>
          <w:tcPr>
            <w:tcW w:w="1804" w:type="dxa"/>
          </w:tcPr>
          <w:p w:rsidR="00F0770B" w:rsidRDefault="00F0770B" w:rsidP="00EB0FC1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كبير جداً</w:t>
            </w:r>
          </w:p>
        </w:tc>
      </w:tr>
      <w:tr w:rsidR="00F0770B" w:rsidTr="00F0770B">
        <w:trPr>
          <w:cnfStyle w:val="000000010000"/>
          <w:trHeight w:val="908"/>
        </w:trPr>
        <w:tc>
          <w:tcPr>
            <w:cnfStyle w:val="001000000000"/>
            <w:tcW w:w="1803" w:type="dxa"/>
          </w:tcPr>
          <w:p w:rsidR="00F0770B" w:rsidRDefault="00F0770B" w:rsidP="00EB0FC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المجرى</w:t>
            </w:r>
          </w:p>
        </w:tc>
        <w:tc>
          <w:tcPr>
            <w:tcW w:w="1803" w:type="dxa"/>
          </w:tcPr>
          <w:p w:rsidR="00F0770B" w:rsidRDefault="00F0770B" w:rsidP="00EB0FC1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ضيق ومستقيم</w:t>
            </w:r>
          </w:p>
        </w:tc>
        <w:tc>
          <w:tcPr>
            <w:tcW w:w="1803" w:type="dxa"/>
          </w:tcPr>
          <w:p w:rsidR="00F0770B" w:rsidRDefault="00F0770B" w:rsidP="00EB0FC1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واسع</w:t>
            </w:r>
          </w:p>
        </w:tc>
        <w:tc>
          <w:tcPr>
            <w:tcW w:w="1804" w:type="dxa"/>
          </w:tcPr>
          <w:p w:rsidR="00F0770B" w:rsidRDefault="00F0770B" w:rsidP="00EB0FC1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قليل وضيق</w:t>
            </w:r>
          </w:p>
        </w:tc>
        <w:tc>
          <w:tcPr>
            <w:tcW w:w="1804" w:type="dxa"/>
          </w:tcPr>
          <w:p w:rsidR="00F0770B" w:rsidRDefault="00F0770B" w:rsidP="00EB0FC1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عميق</w:t>
            </w:r>
          </w:p>
        </w:tc>
      </w:tr>
      <w:tr w:rsidR="00F0770B" w:rsidTr="00F0770B">
        <w:trPr>
          <w:cnfStyle w:val="000000100000"/>
          <w:trHeight w:val="961"/>
        </w:trPr>
        <w:tc>
          <w:tcPr>
            <w:cnfStyle w:val="001000000000"/>
            <w:tcW w:w="1803" w:type="dxa"/>
          </w:tcPr>
          <w:p w:rsidR="00F0770B" w:rsidRDefault="00F0770B" w:rsidP="00EB0FC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الروافد</w:t>
            </w:r>
          </w:p>
        </w:tc>
        <w:tc>
          <w:tcPr>
            <w:tcW w:w="1803" w:type="dxa"/>
          </w:tcPr>
          <w:p w:rsidR="00F0770B" w:rsidRDefault="00F0770B" w:rsidP="00EB0FC1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قليلة جداً</w:t>
            </w:r>
          </w:p>
        </w:tc>
        <w:tc>
          <w:tcPr>
            <w:tcW w:w="1803" w:type="dxa"/>
          </w:tcPr>
          <w:p w:rsidR="00F0770B" w:rsidRDefault="00F0770B" w:rsidP="00EB0FC1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كثيرة</w:t>
            </w:r>
          </w:p>
        </w:tc>
        <w:tc>
          <w:tcPr>
            <w:tcW w:w="1804" w:type="dxa"/>
          </w:tcPr>
          <w:p w:rsidR="00F0770B" w:rsidRDefault="00F0770B" w:rsidP="00EB0FC1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أقل</w:t>
            </w:r>
          </w:p>
        </w:tc>
        <w:tc>
          <w:tcPr>
            <w:tcW w:w="1804" w:type="dxa"/>
          </w:tcPr>
          <w:p w:rsidR="00F0770B" w:rsidRDefault="00F0770B" w:rsidP="00EB0FC1">
            <w:pPr>
              <w:pStyle w:val="a4"/>
              <w:numPr>
                <w:ilvl w:val="0"/>
                <w:numId w:val="1"/>
              </w:numPr>
              <w:jc w:val="center"/>
              <w:cnfStyle w:val="000000100000"/>
              <w:rPr>
                <w:rtl/>
              </w:rPr>
            </w:pPr>
          </w:p>
        </w:tc>
      </w:tr>
      <w:tr w:rsidR="00EB0FC1" w:rsidTr="00F0770B">
        <w:trPr>
          <w:cnfStyle w:val="000000010000"/>
          <w:trHeight w:val="961"/>
        </w:trPr>
        <w:tc>
          <w:tcPr>
            <w:cnfStyle w:val="001000000000"/>
            <w:tcW w:w="1803" w:type="dxa"/>
          </w:tcPr>
          <w:p w:rsidR="00EB0FC1" w:rsidRDefault="00EB0FC1" w:rsidP="00EB0FC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التصريف</w:t>
            </w:r>
          </w:p>
        </w:tc>
        <w:tc>
          <w:tcPr>
            <w:tcW w:w="1803" w:type="dxa"/>
          </w:tcPr>
          <w:p w:rsidR="00EB0FC1" w:rsidRDefault="00EB0FC1" w:rsidP="00EB0FC1">
            <w:pPr>
              <w:jc w:val="center"/>
              <w:cnfStyle w:val="00000001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أقل</w:t>
            </w:r>
          </w:p>
        </w:tc>
        <w:tc>
          <w:tcPr>
            <w:tcW w:w="1803" w:type="dxa"/>
          </w:tcPr>
          <w:p w:rsidR="00EB0FC1" w:rsidRDefault="00EB0FC1" w:rsidP="00EB0FC1">
            <w:pPr>
              <w:jc w:val="center"/>
              <w:cnfStyle w:val="00000001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أكثر</w:t>
            </w:r>
          </w:p>
        </w:tc>
        <w:tc>
          <w:tcPr>
            <w:tcW w:w="1804" w:type="dxa"/>
          </w:tcPr>
          <w:p w:rsidR="00EB0FC1" w:rsidRDefault="00EB0FC1" w:rsidP="00EB0FC1">
            <w:pPr>
              <w:jc w:val="center"/>
              <w:cnfStyle w:val="00000001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804" w:type="dxa"/>
          </w:tcPr>
          <w:p w:rsidR="00EB0FC1" w:rsidRDefault="00EB0FC1" w:rsidP="00EB0FC1">
            <w:pPr>
              <w:pStyle w:val="a4"/>
              <w:numPr>
                <w:ilvl w:val="0"/>
                <w:numId w:val="1"/>
              </w:numPr>
              <w:jc w:val="center"/>
              <w:cnfStyle w:val="000000010000"/>
              <w:rPr>
                <w:rtl/>
              </w:rPr>
            </w:pPr>
          </w:p>
        </w:tc>
      </w:tr>
      <w:tr w:rsidR="00EB0FC1" w:rsidTr="00F0770B">
        <w:trPr>
          <w:cnfStyle w:val="000000100000"/>
          <w:trHeight w:val="961"/>
        </w:trPr>
        <w:tc>
          <w:tcPr>
            <w:cnfStyle w:val="001000000000"/>
            <w:tcW w:w="1803" w:type="dxa"/>
          </w:tcPr>
          <w:p w:rsidR="00EB0FC1" w:rsidRDefault="00EB0FC1" w:rsidP="00EB0FC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المظاهر الطبيعية</w:t>
            </w:r>
          </w:p>
        </w:tc>
        <w:tc>
          <w:tcPr>
            <w:tcW w:w="1803" w:type="dxa"/>
          </w:tcPr>
          <w:p w:rsidR="00EB0FC1" w:rsidRDefault="00EB0FC1" w:rsidP="00EB0FC1">
            <w:pPr>
              <w:jc w:val="center"/>
              <w:cnfStyle w:val="00000010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له جنادل وشلالات أكثر من الناضج</w:t>
            </w:r>
          </w:p>
        </w:tc>
        <w:tc>
          <w:tcPr>
            <w:tcW w:w="1803" w:type="dxa"/>
          </w:tcPr>
          <w:p w:rsidR="00EB0FC1" w:rsidRDefault="00EB0FC1" w:rsidP="00EB0FC1">
            <w:pPr>
              <w:jc w:val="center"/>
              <w:cnfStyle w:val="00000010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قليلة الشلالات والجنادل</w:t>
            </w:r>
          </w:p>
        </w:tc>
        <w:tc>
          <w:tcPr>
            <w:tcW w:w="1804" w:type="dxa"/>
          </w:tcPr>
          <w:p w:rsidR="00EB0FC1" w:rsidRDefault="00EB0FC1" w:rsidP="00EB0FC1">
            <w:pPr>
              <w:jc w:val="center"/>
              <w:cnfStyle w:val="00000010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تعرجات  ( انعطافات)</w:t>
            </w:r>
          </w:p>
          <w:p w:rsidR="00EB0FC1" w:rsidRDefault="00EB0FC1" w:rsidP="00EB0FC1">
            <w:pPr>
              <w:jc w:val="center"/>
              <w:cnfStyle w:val="00000010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لها سهول فيضية منبسطة واسعة</w:t>
            </w:r>
          </w:p>
        </w:tc>
        <w:tc>
          <w:tcPr>
            <w:tcW w:w="1804" w:type="dxa"/>
          </w:tcPr>
          <w:p w:rsidR="00EB0FC1" w:rsidRDefault="00EB0FC1" w:rsidP="00EB0FC1">
            <w:pPr>
              <w:pStyle w:val="a4"/>
              <w:ind w:left="420"/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تتكون من المصاطب ( تشبة المدرجات  وتكون على جانبي وادي النهر )</w:t>
            </w:r>
          </w:p>
        </w:tc>
      </w:tr>
      <w:tr w:rsidR="00EB0FC1" w:rsidTr="00F0770B">
        <w:trPr>
          <w:cnfStyle w:val="000000010000"/>
          <w:trHeight w:val="961"/>
        </w:trPr>
        <w:tc>
          <w:tcPr>
            <w:cnfStyle w:val="001000000000"/>
            <w:tcW w:w="1803" w:type="dxa"/>
          </w:tcPr>
          <w:p w:rsidR="00EB0FC1" w:rsidRPr="00EB0FC1" w:rsidRDefault="00EB0FC1" w:rsidP="00EB0FC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مثال عليها</w:t>
            </w:r>
          </w:p>
        </w:tc>
        <w:tc>
          <w:tcPr>
            <w:tcW w:w="1803" w:type="dxa"/>
          </w:tcPr>
          <w:p w:rsidR="00EB0FC1" w:rsidRDefault="00EB0FC1" w:rsidP="00EB0FC1">
            <w:pPr>
              <w:jc w:val="center"/>
              <w:cnfStyle w:val="00000001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نهر فتي يوجد في جبال لبنان</w:t>
            </w:r>
          </w:p>
        </w:tc>
        <w:tc>
          <w:tcPr>
            <w:tcW w:w="1803" w:type="dxa"/>
          </w:tcPr>
          <w:p w:rsidR="00EB0FC1" w:rsidRDefault="00EB0FC1" w:rsidP="00EB0FC1">
            <w:pPr>
              <w:jc w:val="center"/>
              <w:cnfStyle w:val="00000001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النهر الجاري في حوض الأمازون في البيرو</w:t>
            </w:r>
          </w:p>
        </w:tc>
        <w:tc>
          <w:tcPr>
            <w:tcW w:w="1804" w:type="dxa"/>
          </w:tcPr>
          <w:p w:rsidR="00EB0FC1" w:rsidRDefault="00EB0FC1" w:rsidP="00EB0FC1">
            <w:pPr>
              <w:jc w:val="center"/>
              <w:cnfStyle w:val="00000001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كالنهر في نيوزيلندا</w:t>
            </w:r>
          </w:p>
          <w:p w:rsidR="00EB0FC1" w:rsidRDefault="00EB0FC1" w:rsidP="00EB0FC1">
            <w:pPr>
              <w:jc w:val="center"/>
              <w:cnfStyle w:val="00000001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ص، 128 بالأعلى</w:t>
            </w:r>
          </w:p>
          <w:p w:rsidR="00EB0FC1" w:rsidRDefault="00EB0FC1" w:rsidP="00EB0FC1">
            <w:pPr>
              <w:jc w:val="center"/>
              <w:cnfStyle w:val="00000001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وكنهر النيل</w:t>
            </w:r>
          </w:p>
        </w:tc>
        <w:tc>
          <w:tcPr>
            <w:tcW w:w="1804" w:type="dxa"/>
          </w:tcPr>
          <w:p w:rsidR="00EB0FC1" w:rsidRDefault="00EB0FC1" w:rsidP="00EB0FC1">
            <w:pPr>
              <w:pStyle w:val="a4"/>
              <w:ind w:left="420"/>
              <w:jc w:val="center"/>
              <w:cnfStyle w:val="00000001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</w:tr>
    </w:tbl>
    <w:p w:rsidR="00A964B9" w:rsidRDefault="00A964B9" w:rsidP="00EB0FC1">
      <w:pPr>
        <w:jc w:val="center"/>
      </w:pPr>
    </w:p>
    <w:sectPr w:rsidR="00A964B9" w:rsidSect="00C7222B">
      <w:headerReference w:type="default" r:id="rId7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AE6" w:rsidRDefault="008E6AE6" w:rsidP="00F0770B">
      <w:pPr>
        <w:spacing w:after="0" w:line="240" w:lineRule="auto"/>
      </w:pPr>
      <w:r>
        <w:separator/>
      </w:r>
    </w:p>
  </w:endnote>
  <w:endnote w:type="continuationSeparator" w:id="1">
    <w:p w:rsidR="008E6AE6" w:rsidRDefault="008E6AE6" w:rsidP="00F0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AE6" w:rsidRDefault="008E6AE6" w:rsidP="00F0770B">
      <w:pPr>
        <w:spacing w:after="0" w:line="240" w:lineRule="auto"/>
      </w:pPr>
      <w:r>
        <w:separator/>
      </w:r>
    </w:p>
  </w:footnote>
  <w:footnote w:type="continuationSeparator" w:id="1">
    <w:p w:rsidR="008E6AE6" w:rsidRDefault="008E6AE6" w:rsidP="00F07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70B" w:rsidRDefault="00F0770B">
    <w:pPr>
      <w:pStyle w:val="a5"/>
      <w:rPr>
        <w:rtl/>
      </w:rPr>
    </w:pPr>
  </w:p>
  <w:p w:rsidR="00F0770B" w:rsidRDefault="00F0770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B73E2"/>
    <w:multiLevelType w:val="hybridMultilevel"/>
    <w:tmpl w:val="D25CB3FE"/>
    <w:lvl w:ilvl="0" w:tplc="D130C276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770B"/>
    <w:rsid w:val="000012D1"/>
    <w:rsid w:val="00175104"/>
    <w:rsid w:val="00290E21"/>
    <w:rsid w:val="007726C8"/>
    <w:rsid w:val="008E6AE6"/>
    <w:rsid w:val="00A964B9"/>
    <w:rsid w:val="00C7222B"/>
    <w:rsid w:val="00E34F06"/>
    <w:rsid w:val="00E35013"/>
    <w:rsid w:val="00EB0FC1"/>
    <w:rsid w:val="00F07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4B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7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Grid Accent 2"/>
    <w:basedOn w:val="a1"/>
    <w:uiPriority w:val="62"/>
    <w:rsid w:val="00F077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4">
    <w:name w:val="List Paragraph"/>
    <w:basedOn w:val="a"/>
    <w:uiPriority w:val="34"/>
    <w:qFormat/>
    <w:rsid w:val="00F0770B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F077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F0770B"/>
  </w:style>
  <w:style w:type="paragraph" w:styleId="a6">
    <w:name w:val="footer"/>
    <w:basedOn w:val="a"/>
    <w:link w:val="Char0"/>
    <w:uiPriority w:val="99"/>
    <w:semiHidden/>
    <w:unhideWhenUsed/>
    <w:rsid w:val="00F077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F077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document</dc:creator>
  <cp:keywords/>
  <dc:description/>
  <cp:lastModifiedBy>my document</cp:lastModifiedBy>
  <cp:revision>3</cp:revision>
  <dcterms:created xsi:type="dcterms:W3CDTF">2009-12-30T11:52:00Z</dcterms:created>
  <dcterms:modified xsi:type="dcterms:W3CDTF">2009-12-30T12:03:00Z</dcterms:modified>
</cp:coreProperties>
</file>