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FC3" w:rsidRDefault="00260FC3" w:rsidP="00260FC3">
      <w:pPr>
        <w:jc w:val="right"/>
        <w:rPr>
          <w:rStyle w:val="apple-style-span"/>
          <w:rFonts w:ascii="Verdana" w:hAnsi="Verdana" w:hint="cs"/>
          <w:b/>
          <w:bCs/>
          <w:sz w:val="36"/>
          <w:szCs w:val="36"/>
          <w:rtl/>
        </w:rPr>
      </w:pPr>
      <w:r w:rsidRPr="00260FC3">
        <w:rPr>
          <w:rFonts w:ascii="Verdana" w:hAnsi="Verdana" w:hint="cs"/>
          <w:b/>
          <w:bCs/>
          <w:sz w:val="40"/>
          <w:szCs w:val="40"/>
          <w:rtl/>
        </w:rPr>
        <w:t>نبذة عن اوروبا :</w:t>
      </w:r>
      <w:r w:rsidRPr="00260FC3">
        <w:rPr>
          <w:rFonts w:ascii="Verdana" w:hAnsi="Verdana"/>
          <w:b/>
          <w:bCs/>
          <w:sz w:val="36"/>
          <w:szCs w:val="36"/>
        </w:rPr>
        <w:br/>
      </w:r>
      <w:r w:rsidRPr="00260FC3">
        <w:rPr>
          <w:rStyle w:val="apple-style-span"/>
          <w:rFonts w:ascii="Verdana" w:hAnsi="Verdana"/>
          <w:b/>
          <w:bCs/>
          <w:sz w:val="32"/>
          <w:szCs w:val="32"/>
          <w:rtl/>
        </w:rPr>
        <w:t>أوروبا هي إحدى قارات العالم السبع</w:t>
      </w:r>
      <w:r w:rsidRPr="00260FC3">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جغرافياً تعد أوروبا شبه قارة أو شبه جزيرة كبيرة تكون الجزء الغربي الممتد من أوراسيا بين جبال الأورال والقوقاز وبحر قزوين من الشرق والمحيط الأطلسي من الغرب والبحار الأبيض المتوسط والأسود ومنطقة القوقاز من الجنوب والمحيط القطبي الشمالي من شمال القارة. وتعتبر قارة صغيرة نسبيا مقارنة ببقية القارات لكن قارة أستراليا أصغر منها</w:t>
      </w:r>
      <w:r w:rsidRPr="00260FC3">
        <w:rPr>
          <w:rStyle w:val="apple-style-span"/>
          <w:rFonts w:ascii="Verdana" w:hAnsi="Verdana" w:hint="cs"/>
          <w:b/>
          <w:bCs/>
          <w:sz w:val="32"/>
          <w:szCs w:val="32"/>
          <w:rtl/>
        </w:rPr>
        <w:t>.</w:t>
      </w:r>
    </w:p>
    <w:p w:rsidR="00260FC3" w:rsidRDefault="00260FC3" w:rsidP="00260FC3">
      <w:pPr>
        <w:jc w:val="right"/>
        <w:rPr>
          <w:rStyle w:val="apple-style-span"/>
          <w:rFonts w:ascii="Verdana" w:hAnsi="Verdana" w:hint="cs"/>
          <w:b/>
          <w:bCs/>
          <w:sz w:val="36"/>
          <w:szCs w:val="36"/>
          <w:rtl/>
        </w:rPr>
      </w:pPr>
      <w:r w:rsidRPr="00260FC3">
        <w:rPr>
          <w:rStyle w:val="apple-style-span"/>
          <w:rFonts w:ascii="Verdana" w:hAnsi="Verdana" w:hint="cs"/>
          <w:b/>
          <w:bCs/>
          <w:sz w:val="40"/>
          <w:szCs w:val="40"/>
          <w:rtl/>
        </w:rPr>
        <w:t>مساحة اوروبا :</w:t>
      </w:r>
      <w:r w:rsidRPr="00260FC3">
        <w:rPr>
          <w:rFonts w:ascii="Verdana" w:hAnsi="Verdana"/>
          <w:b/>
          <w:bCs/>
          <w:sz w:val="36"/>
          <w:szCs w:val="36"/>
        </w:rPr>
        <w:br/>
      </w:r>
      <w:r w:rsidRPr="00260FC3">
        <w:rPr>
          <w:rStyle w:val="apple-style-span"/>
          <w:rFonts w:ascii="Verdana" w:hAnsi="Verdana"/>
          <w:b/>
          <w:bCs/>
          <w:sz w:val="32"/>
          <w:szCs w:val="32"/>
          <w:rtl/>
        </w:rPr>
        <w:t>تصل مساحة القارة لحوالي 10.79 مليون كم2 (7.1 % من مساحة الأرض). ثالث قارة من حيث عدد السكان في العالم إذ يزيد عدد سكانها عن 700 مليون نسمة (11 % من سكان الأرض</w:t>
      </w:r>
      <w:r w:rsidRPr="00260FC3">
        <w:rPr>
          <w:rStyle w:val="apple-style-span"/>
          <w:rFonts w:ascii="Verdana" w:hAnsi="Verdana" w:hint="cs"/>
          <w:b/>
          <w:bCs/>
          <w:sz w:val="32"/>
          <w:szCs w:val="32"/>
          <w:rtl/>
        </w:rPr>
        <w:t>.</w:t>
      </w:r>
    </w:p>
    <w:p w:rsidR="00260FC3" w:rsidRDefault="00260FC3" w:rsidP="00260FC3">
      <w:pPr>
        <w:jc w:val="right"/>
        <w:rPr>
          <w:rStyle w:val="apple-style-span"/>
          <w:rFonts w:ascii="Verdana" w:hAnsi="Verdana" w:hint="cs"/>
          <w:b/>
          <w:bCs/>
          <w:sz w:val="32"/>
          <w:szCs w:val="32"/>
          <w:rtl/>
        </w:rPr>
      </w:pPr>
      <w:r w:rsidRPr="00260FC3">
        <w:rPr>
          <w:rStyle w:val="apple-style-span"/>
          <w:rFonts w:ascii="Verdana" w:hAnsi="Verdana" w:hint="cs"/>
          <w:b/>
          <w:bCs/>
          <w:sz w:val="40"/>
          <w:szCs w:val="40"/>
          <w:rtl/>
        </w:rPr>
        <w:t>نبذة عن قبائل وسلالات اوروبا :</w:t>
      </w:r>
      <w:r w:rsidRPr="00260FC3">
        <w:rPr>
          <w:rFonts w:ascii="Verdana" w:hAnsi="Verdana"/>
          <w:b/>
          <w:bCs/>
          <w:sz w:val="36"/>
          <w:szCs w:val="36"/>
        </w:rPr>
        <w:br/>
      </w:r>
      <w:r w:rsidRPr="00260FC3">
        <w:rPr>
          <w:rStyle w:val="apple-style-span"/>
          <w:rFonts w:ascii="Verdana" w:hAnsi="Verdana"/>
          <w:b/>
          <w:bCs/>
          <w:sz w:val="32"/>
          <w:szCs w:val="32"/>
          <w:rtl/>
        </w:rPr>
        <w:t>ينحدر معظم الأوروبيين من قبائل شتى كانت تعيش في القارة في الأزمنة القديمة. وكانت هذه القبائل دائمة التنقل، من منطقة إلى أخرى، وكثيرًا ما اختلطت مع المجموعات الأخرى التي تلتقي بها. فعلى سبيل المثال، تتألف سلالة الشعب البريطاني من الإنجليز والسلت والدنماركيين والقوط والسكسون</w:t>
      </w:r>
      <w:r w:rsidRPr="00260FC3">
        <w:rPr>
          <w:rStyle w:val="apple-style-span"/>
          <w:rFonts w:ascii="Verdana" w:hAnsi="Verdana" w:hint="cs"/>
          <w:b/>
          <w:bCs/>
          <w:sz w:val="32"/>
          <w:szCs w:val="32"/>
          <w:rtl/>
        </w:rPr>
        <w:t>.</w:t>
      </w:r>
      <w:r w:rsidRPr="00260FC3">
        <w:rPr>
          <w:rFonts w:ascii="Verdana" w:hAnsi="Verdana"/>
          <w:b/>
          <w:bCs/>
          <w:sz w:val="36"/>
          <w:szCs w:val="36"/>
        </w:rPr>
        <w:br/>
      </w:r>
      <w:r w:rsidRPr="00260FC3">
        <w:rPr>
          <w:rFonts w:ascii="Verdana" w:hAnsi="Verdana" w:hint="cs"/>
          <w:b/>
          <w:bCs/>
          <w:sz w:val="40"/>
          <w:szCs w:val="40"/>
          <w:rtl/>
        </w:rPr>
        <w:t>الهجرات الى اوروبا :</w:t>
      </w:r>
      <w:r w:rsidRPr="00260FC3">
        <w:rPr>
          <w:rFonts w:ascii="Verdana" w:hAnsi="Verdana"/>
          <w:b/>
          <w:bCs/>
          <w:sz w:val="36"/>
          <w:szCs w:val="36"/>
        </w:rPr>
        <w:br/>
      </w:r>
      <w:r w:rsidRPr="00260FC3">
        <w:rPr>
          <w:rStyle w:val="apple-style-span"/>
          <w:rFonts w:ascii="Verdana" w:hAnsi="Verdana"/>
          <w:b/>
          <w:bCs/>
          <w:sz w:val="32"/>
          <w:szCs w:val="32"/>
          <w:rtl/>
        </w:rPr>
        <w:t>بدأت أعداد كبيرة من سكان آسيا وشمالي إفريقيا في الهجرة إلى دول أوروبا الغربية منذ الخمسينيات من القرن العشرين، لكن مازال عدد الذين ينحدرون من أصل آسيوي وإفريقي يمثل نسبة ضئيلة من سكان القارة</w:t>
      </w:r>
      <w:r w:rsidRPr="00260FC3">
        <w:rPr>
          <w:rStyle w:val="apple-style-span"/>
          <w:rFonts w:ascii="Verdana" w:hAnsi="Verdana" w:hint="cs"/>
          <w:b/>
          <w:bCs/>
          <w:sz w:val="32"/>
          <w:szCs w:val="32"/>
          <w:rtl/>
        </w:rPr>
        <w:t>.</w:t>
      </w:r>
      <w:r w:rsidRPr="00260FC3">
        <w:rPr>
          <w:rFonts w:ascii="Verdana" w:hAnsi="Verdana"/>
          <w:b/>
          <w:bCs/>
          <w:sz w:val="36"/>
          <w:szCs w:val="36"/>
        </w:rPr>
        <w:br/>
      </w:r>
      <w:r w:rsidRPr="00260FC3">
        <w:rPr>
          <w:rStyle w:val="apple-style-span"/>
          <w:rFonts w:ascii="Verdana" w:hAnsi="Verdana"/>
          <w:b/>
          <w:bCs/>
          <w:sz w:val="40"/>
          <w:szCs w:val="40"/>
          <w:rtl/>
        </w:rPr>
        <w:t>عدد السكان في قارة اوروبا</w:t>
      </w:r>
      <w:r w:rsidRPr="00260FC3">
        <w:rPr>
          <w:rStyle w:val="apple-style-span"/>
          <w:rFonts w:ascii="Verdana" w:hAnsi="Verdana" w:hint="cs"/>
          <w:b/>
          <w:bCs/>
          <w:sz w:val="40"/>
          <w:szCs w:val="40"/>
          <w:rtl/>
        </w:rPr>
        <w:t xml:space="preserve"> :</w:t>
      </w:r>
      <w:r w:rsidRPr="00260FC3">
        <w:rPr>
          <w:rFonts w:ascii="Verdana" w:hAnsi="Verdana"/>
          <w:b/>
          <w:bCs/>
          <w:sz w:val="32"/>
          <w:szCs w:val="32"/>
        </w:rPr>
        <w:br/>
      </w:r>
      <w:r w:rsidRPr="00260FC3">
        <w:rPr>
          <w:rStyle w:val="apple-style-span"/>
          <w:rFonts w:ascii="Verdana" w:hAnsi="Verdana"/>
          <w:b/>
          <w:bCs/>
          <w:sz w:val="32"/>
          <w:szCs w:val="32"/>
          <w:rtl/>
        </w:rPr>
        <w:t>يعيش بأوروبا نحو 708 مليون نسمة، أي حوالي ثُمن سكان العالم</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ويعيش حوالي 108 مليونًا منهم في الجزء الروسي الواقع في أوروبا</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وليس هنالك دولة أوروبية أخرى بها ما يماثل هذا العدد من السكان</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وتأتي ألمانيا في المرتبة الثانية بعد روسيا، حيث يبلغ عدد سكانها نحو 81 مليون نسمة</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أما مدينة الفاتيكان فهي أصغر دول أوروبا من حيث عدد السكان، حيث يوجد بها أقل عدد من السكان بالمقارنة مع أي دولة في العالم، إذ يعيش بها نحو ألف نسمة فقط</w:t>
      </w:r>
      <w:r w:rsidRPr="00260FC3">
        <w:rPr>
          <w:rStyle w:val="apple-style-span"/>
          <w:rFonts w:ascii="Verdana" w:hAnsi="Verdana" w:hint="cs"/>
          <w:b/>
          <w:bCs/>
          <w:sz w:val="32"/>
          <w:szCs w:val="32"/>
          <w:rtl/>
        </w:rPr>
        <w:t xml:space="preserve"> .</w:t>
      </w:r>
    </w:p>
    <w:p w:rsidR="00260FC3" w:rsidRPr="00260FC3" w:rsidRDefault="00260FC3" w:rsidP="00260FC3">
      <w:pPr>
        <w:jc w:val="right"/>
        <w:rPr>
          <w:rStyle w:val="apple-style-span"/>
          <w:rFonts w:ascii="Verdana" w:hAnsi="Verdana" w:hint="cs"/>
          <w:b/>
          <w:bCs/>
          <w:sz w:val="32"/>
          <w:szCs w:val="32"/>
          <w:rtl/>
        </w:rPr>
      </w:pPr>
      <w:r w:rsidRPr="00260FC3">
        <w:rPr>
          <w:rStyle w:val="apple-style-span"/>
          <w:rFonts w:ascii="Verdana" w:hAnsi="Verdana" w:hint="cs"/>
          <w:b/>
          <w:bCs/>
          <w:sz w:val="40"/>
          <w:szCs w:val="40"/>
          <w:rtl/>
        </w:rPr>
        <w:lastRenderedPageBreak/>
        <w:t>الكثافة السكانية في اوروبا</w:t>
      </w:r>
      <w:r w:rsidRPr="00260FC3">
        <w:rPr>
          <w:rFonts w:ascii="Verdana" w:hAnsi="Verdana" w:hint="cs"/>
          <w:b/>
          <w:bCs/>
          <w:sz w:val="40"/>
          <w:szCs w:val="40"/>
          <w:rtl/>
        </w:rPr>
        <w:t xml:space="preserve"> :</w:t>
      </w:r>
      <w:r w:rsidRPr="00260FC3">
        <w:rPr>
          <w:rFonts w:ascii="Verdana" w:hAnsi="Verdana"/>
          <w:b/>
          <w:bCs/>
          <w:sz w:val="32"/>
          <w:szCs w:val="32"/>
        </w:rPr>
        <w:br/>
      </w:r>
      <w:r w:rsidRPr="00260FC3">
        <w:rPr>
          <w:rStyle w:val="apple-style-span"/>
          <w:rFonts w:ascii="Verdana" w:hAnsi="Verdana"/>
          <w:b/>
          <w:bCs/>
          <w:sz w:val="32"/>
          <w:szCs w:val="32"/>
          <w:rtl/>
        </w:rPr>
        <w:t>يبلغ معدل الكثافة السكانية في أوروبا 67 نسمة تقريبًا لكل كم² واحد.</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وأوروبا وآسيا هما أكبر قارتين في العالم من حيث الكثافة السكانية.</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وتوزيع السكان في أوروبا ليس متساويًا كما في بقية القارات</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فمعظم أجزاء القارة تقل فيها كثافة السكان عن المعدل، بينما تزيد الكثافة عن المعدل في أجزاء أخرى.</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فالمناطق الشمالية الواسعة مثلاً، تكاد تكون خالية تمامًا من السكان، بينما تبلغ الكثـافة في كل من موناكو وهولندا 385 نسمة لكل كم²، مما يجعلها من أعلى دول العالم كثافة في السكان</w:t>
      </w:r>
    </w:p>
    <w:p w:rsidR="00260FC3" w:rsidRDefault="00260FC3" w:rsidP="00260FC3">
      <w:pPr>
        <w:jc w:val="right"/>
        <w:rPr>
          <w:rFonts w:ascii="Verdana" w:hAnsi="Verdana" w:hint="cs"/>
          <w:b/>
          <w:bCs/>
          <w:sz w:val="32"/>
          <w:szCs w:val="32"/>
          <w:rtl/>
        </w:rPr>
      </w:pPr>
      <w:r w:rsidRPr="00260FC3">
        <w:rPr>
          <w:rStyle w:val="apple-style-span"/>
          <w:rFonts w:ascii="Verdana" w:hAnsi="Verdana" w:hint="cs"/>
          <w:b/>
          <w:bCs/>
          <w:sz w:val="40"/>
          <w:szCs w:val="40"/>
          <w:rtl/>
        </w:rPr>
        <w:t>ال</w:t>
      </w:r>
      <w:r>
        <w:rPr>
          <w:rStyle w:val="apple-style-span"/>
          <w:rFonts w:ascii="Verdana" w:hAnsi="Verdana" w:hint="cs"/>
          <w:b/>
          <w:bCs/>
          <w:sz w:val="40"/>
          <w:szCs w:val="40"/>
          <w:rtl/>
        </w:rPr>
        <w:t>ل</w:t>
      </w:r>
      <w:r w:rsidRPr="00260FC3">
        <w:rPr>
          <w:rStyle w:val="apple-style-span"/>
          <w:rFonts w:ascii="Verdana" w:hAnsi="Verdana" w:hint="cs"/>
          <w:b/>
          <w:bCs/>
          <w:sz w:val="40"/>
          <w:szCs w:val="40"/>
          <w:rtl/>
        </w:rPr>
        <w:t>غات واللهجات في اوروبا :</w:t>
      </w:r>
      <w:r w:rsidRPr="00260FC3">
        <w:rPr>
          <w:rFonts w:ascii="Verdana" w:hAnsi="Verdana"/>
          <w:b/>
          <w:bCs/>
          <w:sz w:val="32"/>
          <w:szCs w:val="32"/>
        </w:rPr>
        <w:br/>
      </w:r>
      <w:r w:rsidRPr="00260FC3">
        <w:rPr>
          <w:rStyle w:val="apple-style-span"/>
          <w:rFonts w:ascii="Verdana" w:hAnsi="Verdana"/>
          <w:b/>
          <w:bCs/>
          <w:sz w:val="32"/>
          <w:szCs w:val="32"/>
          <w:rtl/>
        </w:rPr>
        <w:t>توجد في أوروبا حوالي خمسين لغة وأكثر من مائة لهجة</w:t>
      </w:r>
      <w:r w:rsidRPr="00260FC3">
        <w:rPr>
          <w:rStyle w:val="apple-style-span"/>
          <w:rFonts w:ascii="Verdana" w:hAnsi="Verdana" w:hint="cs"/>
          <w:b/>
          <w:bCs/>
          <w:sz w:val="32"/>
          <w:szCs w:val="32"/>
          <w:rtl/>
        </w:rPr>
        <w:t>،</w:t>
      </w:r>
      <w:r w:rsidRPr="00260FC3">
        <w:rPr>
          <w:rStyle w:val="apple-style-span"/>
          <w:rFonts w:ascii="Verdana" w:hAnsi="Verdana"/>
          <w:b/>
          <w:bCs/>
          <w:sz w:val="32"/>
          <w:szCs w:val="32"/>
          <w:rtl/>
        </w:rPr>
        <w:t xml:space="preserve"> كانت اللغات دائمًا من أسباب التفرقة والوحدة في كل أنحاء القارة.</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فالناطقون بلغة واحدة، غالبًا ما يشعرون بالترابط فيما بينهم، وبالفرقة عن الناطقين بلغة مختلفة</w:t>
      </w:r>
      <w:r w:rsidRPr="00260FC3">
        <w:rPr>
          <w:rStyle w:val="apple-style-span"/>
          <w:rFonts w:ascii="Verdana" w:hAnsi="Verdana" w:hint="cs"/>
          <w:b/>
          <w:bCs/>
          <w:sz w:val="32"/>
          <w:szCs w:val="32"/>
          <w:rtl/>
        </w:rPr>
        <w:t xml:space="preserve"> </w:t>
      </w:r>
      <w:r>
        <w:rPr>
          <w:rStyle w:val="apple-style-span"/>
          <w:rFonts w:ascii="Verdana" w:hAnsi="Verdana" w:hint="cs"/>
          <w:b/>
          <w:bCs/>
          <w:sz w:val="32"/>
          <w:szCs w:val="32"/>
          <w:rtl/>
        </w:rPr>
        <w:t>.</w:t>
      </w:r>
      <w:r w:rsidRPr="00260FC3">
        <w:rPr>
          <w:rFonts w:ascii="Verdana" w:hAnsi="Verdana"/>
          <w:b/>
          <w:bCs/>
          <w:sz w:val="32"/>
          <w:szCs w:val="32"/>
        </w:rPr>
        <w:br/>
      </w:r>
      <w:r w:rsidRPr="00260FC3">
        <w:rPr>
          <w:rFonts w:ascii="Verdana" w:hAnsi="Verdana"/>
          <w:b/>
          <w:bCs/>
          <w:sz w:val="32"/>
          <w:szCs w:val="32"/>
        </w:rPr>
        <w:br/>
      </w:r>
      <w:r w:rsidRPr="00260FC3">
        <w:rPr>
          <w:rStyle w:val="apple-style-span"/>
          <w:rFonts w:ascii="Verdana" w:hAnsi="Verdana" w:hint="cs"/>
          <w:b/>
          <w:bCs/>
          <w:sz w:val="40"/>
          <w:szCs w:val="40"/>
          <w:rtl/>
        </w:rPr>
        <w:t>تصنيف اللغات في اوروبا :</w:t>
      </w:r>
      <w:r w:rsidRPr="00260FC3">
        <w:rPr>
          <w:rFonts w:ascii="Verdana" w:hAnsi="Verdana"/>
          <w:b/>
          <w:bCs/>
          <w:sz w:val="32"/>
          <w:szCs w:val="32"/>
        </w:rPr>
        <w:br/>
      </w:r>
      <w:r w:rsidRPr="00260FC3">
        <w:rPr>
          <w:rStyle w:val="apple-style-span"/>
          <w:rFonts w:ascii="Verdana" w:hAnsi="Verdana"/>
          <w:b/>
          <w:bCs/>
          <w:sz w:val="32"/>
          <w:szCs w:val="32"/>
          <w:rtl/>
        </w:rPr>
        <w:t>يصنف كثير من الخبراء لغات العالم إلى تسع أسر لغوية رئيسية. ويتحدث جميع الأوروبيين تقريبًا بلغات تنتمي إلى أسرة اللغات الهندو ـ أوروبية، وهي أكبر المجموعات اللغوية. ولايدري أحد أين نشأت اللغات الهندو-أوروبية الأولى، إلا أنها على الأرجح بدأت في الإقليم الشمالي للبحر الأسود</w:t>
      </w:r>
      <w:r w:rsidRPr="00260FC3">
        <w:rPr>
          <w:rStyle w:val="apple-style-span"/>
          <w:rFonts w:ascii="Verdana" w:hAnsi="Verdana" w:hint="cs"/>
          <w:b/>
          <w:bCs/>
          <w:sz w:val="32"/>
          <w:szCs w:val="32"/>
          <w:rtl/>
        </w:rPr>
        <w:t xml:space="preserve"> .</w:t>
      </w:r>
      <w:r w:rsidRPr="00260FC3">
        <w:rPr>
          <w:rFonts w:ascii="Verdana" w:hAnsi="Verdana"/>
          <w:b/>
          <w:bCs/>
          <w:sz w:val="32"/>
          <w:szCs w:val="32"/>
        </w:rPr>
        <w:br/>
      </w:r>
      <w:r w:rsidRPr="00260FC3">
        <w:rPr>
          <w:rStyle w:val="apple-style-span"/>
          <w:rFonts w:ascii="Verdana" w:hAnsi="Verdana"/>
          <w:b/>
          <w:bCs/>
          <w:sz w:val="32"/>
          <w:szCs w:val="32"/>
          <w:rtl/>
        </w:rPr>
        <w:t>ولأسرة اللغات الهندو ـ أوروبية ثلاثة فروع رئيسية في أوروبا: البلطية ـ السلافية، واللغات الجرمانية، واللغات الرومانسية. ويتحدث معظم الناس في أوروبا الشرقية باللغات البلطية ـ السلافية التي تشمل البلغارية والروسية.</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أما اللغات الجرمانية كالدنماركية والإنجليزية والألمانية والسويدية فهي بصفة رئيسية، لغات دول أوروبا الغربية الشمالية، واللغات الرومانسية تشمل اللغة الفرنسية والإيطالية والأسبانية</w:t>
      </w:r>
      <w:r>
        <w:rPr>
          <w:rStyle w:val="apple-style-span"/>
          <w:rFonts w:ascii="Verdana" w:hAnsi="Verdana" w:hint="cs"/>
          <w:b/>
          <w:bCs/>
          <w:sz w:val="32"/>
          <w:szCs w:val="32"/>
          <w:rtl/>
        </w:rPr>
        <w:t xml:space="preserve"> .</w:t>
      </w:r>
      <w:r w:rsidRPr="00260FC3">
        <w:rPr>
          <w:rFonts w:ascii="Verdana" w:hAnsi="Verdana"/>
          <w:b/>
          <w:bCs/>
          <w:sz w:val="32"/>
          <w:szCs w:val="32"/>
        </w:rPr>
        <w:br/>
      </w:r>
      <w:r w:rsidRPr="00260FC3">
        <w:rPr>
          <w:rFonts w:ascii="Verdana" w:hAnsi="Verdana"/>
          <w:b/>
          <w:bCs/>
          <w:sz w:val="32"/>
          <w:szCs w:val="32"/>
        </w:rPr>
        <w:br/>
      </w:r>
      <w:r w:rsidRPr="00260FC3">
        <w:rPr>
          <w:rStyle w:val="apple-style-span"/>
          <w:rFonts w:ascii="Verdana" w:hAnsi="Verdana"/>
          <w:b/>
          <w:bCs/>
          <w:sz w:val="40"/>
          <w:szCs w:val="40"/>
          <w:rtl/>
        </w:rPr>
        <w:t>التعليم في قارة اوروبا</w:t>
      </w:r>
      <w:r w:rsidRPr="00260FC3">
        <w:rPr>
          <w:rStyle w:val="apple-style-span"/>
          <w:rFonts w:ascii="Verdana" w:hAnsi="Verdana" w:hint="cs"/>
          <w:b/>
          <w:bCs/>
          <w:sz w:val="40"/>
          <w:szCs w:val="40"/>
          <w:rtl/>
        </w:rPr>
        <w:t xml:space="preserve"> :</w:t>
      </w:r>
      <w:r w:rsidRPr="00260FC3">
        <w:rPr>
          <w:rFonts w:ascii="Verdana" w:hAnsi="Verdana"/>
          <w:b/>
          <w:bCs/>
          <w:sz w:val="32"/>
          <w:szCs w:val="32"/>
        </w:rPr>
        <w:br/>
      </w:r>
      <w:r w:rsidRPr="00260FC3">
        <w:rPr>
          <w:rStyle w:val="apple-style-span"/>
          <w:rFonts w:ascii="Verdana" w:hAnsi="Verdana"/>
          <w:b/>
          <w:bCs/>
          <w:sz w:val="32"/>
          <w:szCs w:val="32"/>
          <w:rtl/>
        </w:rPr>
        <w:t>يعد الأوروبيون من أكثر الشعوب المتعلمة في العالم</w:t>
      </w:r>
      <w:r>
        <w:rPr>
          <w:rStyle w:val="apple-style-span"/>
          <w:rFonts w:ascii="Verdana" w:hAnsi="Verdana" w:hint="cs"/>
          <w:b/>
          <w:bCs/>
          <w:sz w:val="32"/>
          <w:szCs w:val="32"/>
          <w:rtl/>
        </w:rPr>
        <w:t>،</w:t>
      </w:r>
      <w:r w:rsidRPr="00260FC3">
        <w:rPr>
          <w:rStyle w:val="apple-style-span"/>
          <w:rFonts w:ascii="Verdana" w:hAnsi="Verdana"/>
          <w:b/>
          <w:bCs/>
          <w:sz w:val="32"/>
          <w:szCs w:val="32"/>
          <w:rtl/>
        </w:rPr>
        <w:t xml:space="preserve"> فمعظمهم يعرفون القراءة والكتابة، يستطيع 90% من سكان أوروبا القراءة والكتابة باستثناء ثلاث دول تقل فيها نسبة </w:t>
      </w:r>
      <w:r w:rsidRPr="00260FC3">
        <w:rPr>
          <w:rStyle w:val="apple-style-span"/>
          <w:rFonts w:ascii="Verdana" w:hAnsi="Verdana"/>
          <w:b/>
          <w:bCs/>
          <w:sz w:val="32"/>
          <w:szCs w:val="32"/>
          <w:rtl/>
        </w:rPr>
        <w:lastRenderedPageBreak/>
        <w:t>المتعلمين عن 90%، وهذه الدول هي مالطة، والبرتغال، وتركيا التي يقع جزء صغير منها في أوروبا</w:t>
      </w:r>
      <w:r w:rsidRPr="00260FC3">
        <w:rPr>
          <w:rStyle w:val="apple-style-span"/>
          <w:rFonts w:ascii="Verdana" w:hAnsi="Verdana" w:hint="cs"/>
          <w:b/>
          <w:bCs/>
          <w:sz w:val="32"/>
          <w:szCs w:val="32"/>
          <w:rtl/>
        </w:rPr>
        <w:t xml:space="preserve"> .</w:t>
      </w:r>
      <w:r w:rsidRPr="00260FC3">
        <w:rPr>
          <w:rFonts w:ascii="Verdana" w:hAnsi="Verdana"/>
          <w:b/>
          <w:bCs/>
          <w:sz w:val="32"/>
          <w:szCs w:val="32"/>
        </w:rPr>
        <w:br/>
      </w:r>
      <w:r w:rsidRPr="00260FC3">
        <w:rPr>
          <w:rStyle w:val="apple-style-span"/>
          <w:rFonts w:ascii="Verdana" w:hAnsi="Verdana"/>
          <w:b/>
          <w:bCs/>
          <w:sz w:val="32"/>
          <w:szCs w:val="32"/>
          <w:rtl/>
        </w:rPr>
        <w:t>يختلف التعليم من دولة إلى أخرى، ففي البرتغال مثلاً، يتوجب على الأطفال قضاء ست سنوات فقط بالمدارس</w:t>
      </w:r>
      <w:r w:rsidRPr="00260FC3">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بينما يقضي الأطفال البلجيكيون 12 عامًا على الأقل بالمدرسة. ولفرنسا نظام تعليم مركزي لأقصى حد، تقوم بإدارته حكومة البلاد الوطنية</w:t>
      </w:r>
      <w:r w:rsidRPr="00260FC3">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أما في سويسرا فتقوم حكومات الولايات بالإشراف على التعليم</w:t>
      </w:r>
      <w:r w:rsidRPr="00260FC3">
        <w:rPr>
          <w:rStyle w:val="apple-style-span"/>
          <w:rFonts w:ascii="Verdana" w:hAnsi="Verdana" w:hint="cs"/>
          <w:b/>
          <w:bCs/>
          <w:sz w:val="32"/>
          <w:szCs w:val="32"/>
          <w:rtl/>
        </w:rPr>
        <w:t xml:space="preserve"> .</w:t>
      </w:r>
      <w:r w:rsidRPr="00260FC3">
        <w:rPr>
          <w:rFonts w:ascii="Verdana" w:hAnsi="Verdana"/>
          <w:b/>
          <w:bCs/>
          <w:sz w:val="32"/>
          <w:szCs w:val="32"/>
        </w:rPr>
        <w:br/>
      </w:r>
      <w:r w:rsidRPr="00260FC3">
        <w:rPr>
          <w:rStyle w:val="apple-style-span"/>
          <w:rFonts w:ascii="Verdana" w:hAnsi="Verdana"/>
          <w:b/>
          <w:bCs/>
          <w:sz w:val="32"/>
          <w:szCs w:val="32"/>
          <w:rtl/>
        </w:rPr>
        <w:t>يتلقى معظم الأطفال في الدول الشمالية لغربي أوروبا ـ كبريطانيا والنرويج والسويد ـ التعليم نفسه حتى يبلغوا سن الخامسة عشرة أو السادسة عشرة</w:t>
      </w:r>
      <w:r w:rsidRPr="00260FC3">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وفي تلك السن قد يترك بعض الأطفال المدرسة أو يلتحقون بالمدارس المهنية</w:t>
      </w:r>
      <w:r w:rsidRPr="00260FC3">
        <w:rPr>
          <w:rStyle w:val="apple-style-span"/>
          <w:rFonts w:ascii="Verdana" w:hAnsi="Verdana" w:hint="cs"/>
          <w:b/>
          <w:bCs/>
          <w:sz w:val="32"/>
          <w:szCs w:val="32"/>
          <w:rtl/>
        </w:rPr>
        <w:t xml:space="preserve"> </w:t>
      </w:r>
      <w:r w:rsidRPr="00260FC3">
        <w:rPr>
          <w:rStyle w:val="apple-style-span"/>
          <w:rFonts w:ascii="Verdana" w:hAnsi="Verdana"/>
          <w:b/>
          <w:bCs/>
          <w:sz w:val="32"/>
          <w:szCs w:val="32"/>
          <w:rtl/>
        </w:rPr>
        <w:t>، وقد يستمر البعض الآخر في مواصلة دراستهم الأكاديمية لتأهيل أنفسهم للتعليم الجامعي</w:t>
      </w:r>
      <w:r w:rsidRPr="00260FC3">
        <w:rPr>
          <w:rStyle w:val="apple-style-span"/>
          <w:rFonts w:ascii="Verdana" w:hAnsi="Verdana" w:hint="cs"/>
          <w:b/>
          <w:bCs/>
          <w:sz w:val="32"/>
          <w:szCs w:val="32"/>
          <w:rtl/>
        </w:rPr>
        <w:t xml:space="preserve"> .</w:t>
      </w:r>
    </w:p>
    <w:p w:rsidR="00260FC3" w:rsidRPr="00260FC3" w:rsidRDefault="00260FC3" w:rsidP="00260FC3">
      <w:pPr>
        <w:jc w:val="right"/>
        <w:rPr>
          <w:rFonts w:ascii="Verdana" w:hAnsi="Verdana" w:hint="cs"/>
          <w:b/>
          <w:bCs/>
          <w:sz w:val="32"/>
          <w:szCs w:val="32"/>
          <w:rtl/>
        </w:rPr>
      </w:pPr>
      <w:r w:rsidRPr="00260FC3">
        <w:rPr>
          <w:rFonts w:ascii="Verdana" w:hAnsi="Verdana" w:hint="cs"/>
          <w:b/>
          <w:bCs/>
          <w:sz w:val="40"/>
          <w:szCs w:val="40"/>
          <w:rtl/>
        </w:rPr>
        <w:t>مستوى التعليم في اوروبا :</w:t>
      </w:r>
      <w:r w:rsidRPr="00260FC3">
        <w:rPr>
          <w:rFonts w:ascii="Verdana" w:hAnsi="Verdana"/>
          <w:b/>
          <w:bCs/>
          <w:sz w:val="32"/>
          <w:szCs w:val="32"/>
        </w:rPr>
        <w:br/>
      </w:r>
      <w:r w:rsidRPr="00260FC3">
        <w:rPr>
          <w:rStyle w:val="apple-style-span"/>
          <w:rFonts w:ascii="Verdana" w:hAnsi="Verdana"/>
          <w:b/>
          <w:bCs/>
          <w:sz w:val="32"/>
          <w:szCs w:val="32"/>
          <w:rtl/>
        </w:rPr>
        <w:t>مستوى التعليم في أوروبا بصفة عامة مرتفع في المناطق الشمالية أكثر مما هو عليه في المناطق الجنوبية، كدول اليونان والبرتغال وبلغاريا وألبانيا، فهذه الدول أكثر فقرا من دول الشمال، لذلك ليس في استطاعتها القيام بإجراء تحسينات مستمرة في البرامج التعليمية.</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ويقضي أطفال هذه الدول سنين أقل با</w:t>
      </w:r>
      <w:r>
        <w:rPr>
          <w:rStyle w:val="apple-style-span"/>
          <w:rFonts w:ascii="Verdana" w:hAnsi="Verdana"/>
          <w:b/>
          <w:bCs/>
          <w:sz w:val="32"/>
          <w:szCs w:val="32"/>
          <w:rtl/>
        </w:rPr>
        <w:t>لمدرسة عما يقضيه أمثالهم بالشما</w:t>
      </w:r>
      <w:r>
        <w:rPr>
          <w:rStyle w:val="apple-style-span"/>
          <w:rFonts w:ascii="Verdana" w:hAnsi="Verdana" w:hint="cs"/>
          <w:b/>
          <w:bCs/>
          <w:sz w:val="32"/>
          <w:szCs w:val="32"/>
          <w:rtl/>
        </w:rPr>
        <w:t>ل.</w:t>
      </w:r>
    </w:p>
    <w:p w:rsidR="00260FC3" w:rsidRPr="00260FC3" w:rsidRDefault="00260FC3" w:rsidP="00260FC3">
      <w:pPr>
        <w:jc w:val="right"/>
        <w:rPr>
          <w:rStyle w:val="apple-style-span"/>
          <w:rFonts w:ascii="Verdana" w:hAnsi="Verdana" w:hint="cs"/>
          <w:b/>
          <w:bCs/>
          <w:sz w:val="32"/>
          <w:szCs w:val="32"/>
          <w:rtl/>
        </w:rPr>
      </w:pPr>
      <w:r w:rsidRPr="00260FC3">
        <w:rPr>
          <w:rFonts w:ascii="Verdana" w:hAnsi="Verdana" w:hint="cs"/>
          <w:b/>
          <w:bCs/>
          <w:sz w:val="40"/>
          <w:szCs w:val="40"/>
          <w:rtl/>
        </w:rPr>
        <w:t>الجامعات في اوروبا :</w:t>
      </w:r>
      <w:r w:rsidRPr="00260FC3">
        <w:rPr>
          <w:rFonts w:ascii="Verdana" w:hAnsi="Verdana"/>
          <w:b/>
          <w:bCs/>
          <w:sz w:val="32"/>
          <w:szCs w:val="32"/>
        </w:rPr>
        <w:br/>
      </w:r>
      <w:r w:rsidRPr="00260FC3">
        <w:rPr>
          <w:rStyle w:val="apple-style-span"/>
          <w:rFonts w:ascii="Verdana" w:hAnsi="Verdana"/>
          <w:b/>
          <w:bCs/>
          <w:sz w:val="32"/>
          <w:szCs w:val="32"/>
          <w:rtl/>
        </w:rPr>
        <w:t>يوجد بأوروبا عدد من أشهر الجامعات في العالم، وتشمل الجامعات البريطانية في كمبردج وأدنبره ولندن وأكسفورد.</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كما تشمل أيضًا جامعة باجلونيا في كراكاو ببولندا، وجامعات بولونيا بإيطاليا، ودبلن بإيرلندا وهايدلبرج بألمانيا بالإضافة إلى جامعات موسكو وباريس وروما وفيينا بالنمسا</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w:t>
      </w:r>
    </w:p>
    <w:p w:rsidR="00DA48C6" w:rsidRPr="00260FC3" w:rsidRDefault="00260FC3" w:rsidP="00260FC3">
      <w:pPr>
        <w:jc w:val="right"/>
        <w:rPr>
          <w:rFonts w:ascii="Verdana" w:hAnsi="Verdana" w:hint="cs"/>
          <w:b/>
          <w:bCs/>
          <w:sz w:val="32"/>
          <w:szCs w:val="32"/>
          <w:rtl/>
        </w:rPr>
      </w:pPr>
      <w:r w:rsidRPr="00260FC3">
        <w:rPr>
          <w:rStyle w:val="apple-style-span"/>
          <w:rFonts w:ascii="Verdana" w:hAnsi="Verdana" w:hint="cs"/>
          <w:b/>
          <w:bCs/>
          <w:sz w:val="40"/>
          <w:szCs w:val="40"/>
          <w:rtl/>
        </w:rPr>
        <w:t xml:space="preserve">المكتبات في اوروبا :     </w:t>
      </w:r>
      <w:r w:rsidRPr="00260FC3">
        <w:rPr>
          <w:rStyle w:val="apple-style-span"/>
          <w:rFonts w:ascii="Verdana" w:hAnsi="Verdana" w:hint="cs"/>
          <w:b/>
          <w:bCs/>
          <w:sz w:val="32"/>
          <w:szCs w:val="32"/>
          <w:rtl/>
        </w:rPr>
        <w:t xml:space="preserve">                                     </w:t>
      </w:r>
      <w:r>
        <w:rPr>
          <w:rStyle w:val="apple-style-span"/>
          <w:rFonts w:ascii="Verdana" w:hAnsi="Verdana" w:hint="cs"/>
          <w:b/>
          <w:bCs/>
          <w:sz w:val="32"/>
          <w:szCs w:val="32"/>
          <w:rtl/>
        </w:rPr>
        <w:t xml:space="preserve">                             </w:t>
      </w:r>
      <w:r w:rsidRPr="00260FC3">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يـوجد في أوروبا عدد من أهم المكتبات في العالم وتشمل المكتبة الوطنية بباريس، والمكتبة البريطانية بلندن، ومكتبة بودليان بجامعة أكسفورد بإنجلترا، ومكتبة الدولة الروسية في موسكو (كانت تعرف باسم مكتبة لينين)، ومكتبة الفاتيكان. </w:t>
      </w:r>
      <w:r w:rsidRPr="00260FC3">
        <w:rPr>
          <w:rFonts w:ascii="Verdana" w:hAnsi="Verdana"/>
          <w:b/>
          <w:bCs/>
          <w:sz w:val="32"/>
          <w:szCs w:val="32"/>
        </w:rPr>
        <w:br/>
      </w:r>
    </w:p>
    <w:sectPr w:rsidR="00DA48C6" w:rsidRPr="00260F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260FC3"/>
    <w:rsid w:val="00260FC3"/>
    <w:rsid w:val="00DA48C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260FC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753</Words>
  <Characters>4293</Characters>
  <Application>Microsoft Office Word</Application>
  <DocSecurity>0</DocSecurity>
  <Lines>35</Lines>
  <Paragraphs>10</Paragraphs>
  <ScaleCrop>false</ScaleCrop>
  <Company/>
  <LinksUpToDate>false</LinksUpToDate>
  <CharactersWithSpaces>5036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2011-01-15T01:02:00Z</dcterms:created>
  <dcterms:modified xsi:type="dcterms:W3CDTF">2011-01-15T01:33:00Z</dcterms:modified>
</cp:coreProperties>
</file>