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ED1" w:rsidRPr="00120ED1" w:rsidRDefault="00120ED1" w:rsidP="00120ED1">
      <w:pPr>
        <w:spacing w:after="0" w:line="240" w:lineRule="auto"/>
        <w:rPr>
          <w:rFonts w:ascii="Times New Roman" w:eastAsia="Times New Roman" w:hAnsi="Times New Roman" w:cs="Times New Roman"/>
          <w:b/>
          <w:bCs/>
          <w:color w:val="74005E" w:themeColor="accent3" w:themeShade="BF"/>
          <w:sz w:val="28"/>
          <w:szCs w:val="28"/>
        </w:rPr>
      </w:pP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Pr>
      </w:pPr>
      <w:r w:rsidRPr="00120ED1">
        <w:rPr>
          <w:rFonts w:ascii="Times New Roman" w:eastAsia="Times New Roman" w:hAnsi="Times New Roman" w:cs="Times New Roman"/>
          <w:b/>
          <w:bCs/>
          <w:color w:val="74005E" w:themeColor="accent3" w:themeShade="BF"/>
          <w:sz w:val="28"/>
          <w:szCs w:val="28"/>
          <w:rtl/>
        </w:rPr>
        <w:t>القضاء الاتحادي</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اهتمت الدولة منذ قيامها بالعدالة واستقلال القضاء , وعملت على تأكيد هذا المعنى عندما أعلنت في دستورها أن القضاة مستقلون ولا سلطان عليهم في أداء واجبهم لغير القانون وضمائرهم .</w:t>
      </w:r>
      <w:r w:rsidRPr="00120ED1">
        <w:rPr>
          <w:rFonts w:ascii="Times New Roman" w:eastAsia="Times New Roman" w:hAnsi="Times New Roman" w:cs="Times New Roman"/>
          <w:b/>
          <w:bCs/>
          <w:color w:val="74005E" w:themeColor="accent3" w:themeShade="BF"/>
          <w:sz w:val="28"/>
          <w:szCs w:val="28"/>
          <w:rtl/>
        </w:rPr>
        <w:br/>
        <w:t>وترتفع هامة الدولة ممثلة في المحكمة الاتحادية العليا التي تكفل كل الضمانات الدستورية لرئيسها وقضاتها بمجرد تعيينهم وحلف اليمين أمام رئيس الاتحاد بحضور وزير العدل الاتحادي , يقسمون فيه على الحكم بالعدل دون خشية أو محاباة ,والإخلاص لدستور الاتحاد وقوانينه .</w:t>
      </w:r>
      <w:r w:rsidRPr="00120ED1">
        <w:rPr>
          <w:rFonts w:ascii="Times New Roman" w:eastAsia="Times New Roman" w:hAnsi="Times New Roman" w:cs="Times New Roman"/>
          <w:b/>
          <w:bCs/>
          <w:color w:val="74005E" w:themeColor="accent3" w:themeShade="BF"/>
          <w:sz w:val="28"/>
          <w:szCs w:val="28"/>
          <w:rtl/>
        </w:rPr>
        <w:br/>
        <w:t>وعلى هذا فإن السلطة القضائية في دولة الإمارات العربية المتحدة مستقلة عن السلطتين التشريعية والتنفيذية , وقد أشار الدستور إلى إنشاء محكمة اتحادية لتتولى بدورها السلطة القضائية.</w:t>
      </w:r>
      <w:r w:rsidRPr="00120ED1">
        <w:rPr>
          <w:rFonts w:ascii="Times New Roman" w:eastAsia="Times New Roman" w:hAnsi="Times New Roman" w:cs="Times New Roman"/>
          <w:b/>
          <w:bCs/>
          <w:color w:val="74005E" w:themeColor="accent3" w:themeShade="BF"/>
          <w:sz w:val="28"/>
          <w:szCs w:val="28"/>
          <w:rtl/>
        </w:rPr>
        <w:br/>
        <w:t>وتنقسم المحاكم في الدولة الاتحادية إلى ثلاثة أنواع هي : المحكمة الاتحادية العليا , والمحكمة الاتحادية الابتدائية ,والمحاكم المحلية “ المدنية والشرعية “.</w:t>
      </w:r>
      <w:r w:rsidRPr="00120ED1">
        <w:rPr>
          <w:rFonts w:ascii="Times New Roman" w:eastAsia="Times New Roman" w:hAnsi="Times New Roman" w:cs="Times New Roman"/>
          <w:b/>
          <w:bCs/>
          <w:color w:val="74005E" w:themeColor="accent3" w:themeShade="BF"/>
          <w:sz w:val="28"/>
          <w:szCs w:val="28"/>
          <w:rtl/>
        </w:rPr>
        <w:br/>
        <w:t>وتتولى المحاكم المحلية في كل إليها من الإمارات السبع جميع المسائل التي لم يعهد بها إلى القضاء الاتحادي .</w:t>
      </w:r>
      <w:r w:rsidRPr="00120ED1">
        <w:rPr>
          <w:rFonts w:ascii="Times New Roman" w:eastAsia="Times New Roman" w:hAnsi="Times New Roman" w:cs="Times New Roman"/>
          <w:b/>
          <w:bCs/>
          <w:color w:val="74005E" w:themeColor="accent3" w:themeShade="BF"/>
          <w:sz w:val="28"/>
          <w:szCs w:val="28"/>
          <w:rtl/>
        </w:rPr>
        <w:br/>
        <w:t xml:space="preserve">وبالرجوع إلى الدستور المؤقت لدولة الإمارات العربية المتحدة نجد أنه قد تبنى فكرة الرقابة القضائية لدستورية القوانين ,إذ نص على أن يكون للاتحاد محكمة اتحادية عليا يكون من بين اختصاصاتها بحث دستورية القوانين الاتحادية “م 95” وكذلك دستورية التشريعات الصادرة عن إحدى الإمارات “ م 99 “ . ومن ثم فقد أخذ هذا الدستور بفكرة مركزية الرقابة أي قصرها على هذه المحكمة وحدها تتولاها دون كافة الجهات القضائية الأخرى في الدولة , ولذلك يحسن بنا إعطاء نبذة مختصرة عن المحكمة الاتحادية العليا. </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المحكمة الاتحادية العليا</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 xml:space="preserve">هي المحكمة التي تقف على قمة السلم القضائي في الدولة , أي أنها تمثل الهيئة القضائية العليا في الاتحاد , وقد نص الدستور على اعتبار أحكامها نهائية وملزمة للكافة “ مادة 101 “ , والمحكمة العليا عند مباشرتها لوظائفها ليست أداة في يد الحكومة المركزية تستخدمها لتقوية سلطاتها وتوسيع اختصاصاتها , وإنما هي هيئة دستورية مستقلة عن الحكومة المركزية والسلطات المحلية , تسعى إلى تحقيق التوازن بين هاتين الجهتين بما يكفل تحقيق الأهداف التي تبناها الدستور. </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اختصاصات المحكمة الاتحادية</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 xml:space="preserve">لا تختص المحكمة الاتحادية العليا بالنظر في دستورية القوانين أو التشريعات المختلفة بالدولة فقط وإنما عهد إليها المشرع الدستوري باختصاصات أخرى يمكن إجمالها في الآتي : </w:t>
      </w:r>
      <w:r w:rsidRPr="00120ED1">
        <w:rPr>
          <w:rFonts w:ascii="Times New Roman" w:eastAsia="Times New Roman" w:hAnsi="Times New Roman" w:cs="Times New Roman"/>
          <w:b/>
          <w:bCs/>
          <w:color w:val="74005E" w:themeColor="accent3" w:themeShade="BF"/>
          <w:sz w:val="28"/>
          <w:szCs w:val="28"/>
          <w:rtl/>
        </w:rPr>
        <w:br/>
        <w:t>(1) المنازعات المختلفة بين الإمارات الأعضاء في الاتحاد , أو بين أية إليها أو اكثر في حكومة الاتحاد متى أحيلت هذه المنازعات إلى المحكمة بناء على طلب أي طرف من الأطراف المعنية .</w:t>
      </w:r>
      <w:r w:rsidRPr="00120ED1">
        <w:rPr>
          <w:rFonts w:ascii="Times New Roman" w:eastAsia="Times New Roman" w:hAnsi="Times New Roman" w:cs="Times New Roman"/>
          <w:b/>
          <w:bCs/>
          <w:color w:val="74005E" w:themeColor="accent3" w:themeShade="BF"/>
          <w:sz w:val="28"/>
          <w:szCs w:val="28"/>
          <w:rtl/>
        </w:rPr>
        <w:br/>
        <w:t xml:space="preserve">(2) تفسير أحكام الدستور إذا ما طلبت إليها ذلك إحدى سلطات الاتحاد أو حكومة إحدى الإمارات , ويعتبر </w:t>
      </w:r>
      <w:r w:rsidRPr="00120ED1">
        <w:rPr>
          <w:rFonts w:ascii="Times New Roman" w:eastAsia="Times New Roman" w:hAnsi="Times New Roman" w:cs="Times New Roman"/>
          <w:b/>
          <w:bCs/>
          <w:color w:val="74005E" w:themeColor="accent3" w:themeShade="BF"/>
          <w:sz w:val="28"/>
          <w:szCs w:val="28"/>
          <w:rtl/>
        </w:rPr>
        <w:lastRenderedPageBreak/>
        <w:t>هذا التفسير ملزما للكافة .</w:t>
      </w:r>
      <w:r w:rsidRPr="00120ED1">
        <w:rPr>
          <w:rFonts w:ascii="Times New Roman" w:eastAsia="Times New Roman" w:hAnsi="Times New Roman" w:cs="Times New Roman"/>
          <w:b/>
          <w:bCs/>
          <w:color w:val="74005E" w:themeColor="accent3" w:themeShade="BF"/>
          <w:sz w:val="28"/>
          <w:szCs w:val="28"/>
          <w:rtl/>
        </w:rPr>
        <w:br/>
        <w:t>(3) مساءلة الوزراء وكبار موظفي الاتحاد المعينين بمرسوم , عما يقع منهم من أفعال أثناء أداء وظائفهم الرسمية بناء على طلب المجلس الأعلى ووفقا للقانون الخاص بذلك .</w:t>
      </w:r>
      <w:r w:rsidRPr="00120ED1">
        <w:rPr>
          <w:rFonts w:ascii="Times New Roman" w:eastAsia="Times New Roman" w:hAnsi="Times New Roman" w:cs="Times New Roman"/>
          <w:b/>
          <w:bCs/>
          <w:color w:val="74005E" w:themeColor="accent3" w:themeShade="BF"/>
          <w:sz w:val="28"/>
          <w:szCs w:val="28"/>
          <w:rtl/>
        </w:rPr>
        <w:br/>
        <w:t>(4) الجرائم التي لها مساس مباشر بمصالح الاتحاد , كالجرائم المتعلقة بأمنه في الداخل أو الخارج , وجرائم تزوير المحررات أو الأختام الرسمية لإحدى السلطات الاتحادية , وجرائم تزييف العملة .</w:t>
      </w:r>
      <w:r w:rsidRPr="00120ED1">
        <w:rPr>
          <w:rFonts w:ascii="Times New Roman" w:eastAsia="Times New Roman" w:hAnsi="Times New Roman" w:cs="Times New Roman"/>
          <w:b/>
          <w:bCs/>
          <w:color w:val="74005E" w:themeColor="accent3" w:themeShade="BF"/>
          <w:sz w:val="28"/>
          <w:szCs w:val="28"/>
          <w:rtl/>
        </w:rPr>
        <w:br/>
        <w:t>(5) تنازع الاختصاص بين القضاء الاتحادي والهيئات القضائية في الإمارات .</w:t>
      </w:r>
      <w:r w:rsidRPr="00120ED1">
        <w:rPr>
          <w:rFonts w:ascii="Times New Roman" w:eastAsia="Times New Roman" w:hAnsi="Times New Roman" w:cs="Times New Roman"/>
          <w:b/>
          <w:bCs/>
          <w:color w:val="74005E" w:themeColor="accent3" w:themeShade="BF"/>
          <w:sz w:val="28"/>
          <w:szCs w:val="28"/>
          <w:rtl/>
        </w:rPr>
        <w:br/>
        <w:t>(6) تنازع الاختصاص بين هيئة قضائية في إليها وهيئة قضائية في إليها أخرى وتنظم القواعد الخاصة بذلك بقانون اتحادي .</w:t>
      </w:r>
      <w:r w:rsidRPr="00120ED1">
        <w:rPr>
          <w:rFonts w:ascii="Times New Roman" w:eastAsia="Times New Roman" w:hAnsi="Times New Roman" w:cs="Times New Roman"/>
          <w:b/>
          <w:bCs/>
          <w:color w:val="74005E" w:themeColor="accent3" w:themeShade="BF"/>
          <w:sz w:val="28"/>
          <w:szCs w:val="28"/>
          <w:rtl/>
        </w:rPr>
        <w:br/>
        <w:t>(7) أية اختصاصات أخرى منصوص عليها في الدستور أو يمكن أن تحال إليها بموجب قانون اتحادي .</w:t>
      </w:r>
      <w:r w:rsidRPr="00120ED1">
        <w:rPr>
          <w:rFonts w:ascii="Times New Roman" w:eastAsia="Times New Roman" w:hAnsi="Times New Roman" w:cs="Times New Roman"/>
          <w:b/>
          <w:bCs/>
          <w:color w:val="74005E" w:themeColor="accent3" w:themeShade="BF"/>
          <w:sz w:val="28"/>
          <w:szCs w:val="28"/>
          <w:rtl/>
        </w:rPr>
        <w:br/>
        <w:t>وبناء على ذلك يمكن القول أن المشرع الدستوري لم ينشئ محكمة لبحث الدستورية وإنما عهد بهذه المهمة إلى المحكمة العليا في السلم القضائي تباشره كواحد من بين اختصاصاتها المتعددة المتقدم ذكرها .</w:t>
      </w:r>
      <w:r w:rsidRPr="00120ED1">
        <w:rPr>
          <w:rFonts w:ascii="Times New Roman" w:eastAsia="Times New Roman" w:hAnsi="Times New Roman" w:cs="Times New Roman"/>
          <w:b/>
          <w:bCs/>
          <w:color w:val="74005E" w:themeColor="accent3" w:themeShade="BF"/>
          <w:sz w:val="28"/>
          <w:szCs w:val="28"/>
          <w:rtl/>
        </w:rPr>
        <w:br/>
        <w:t>وقد حدد الدستور المؤقت :</w:t>
      </w:r>
      <w:r w:rsidRPr="00120ED1">
        <w:rPr>
          <w:rFonts w:ascii="Times New Roman" w:eastAsia="Times New Roman" w:hAnsi="Times New Roman" w:cs="Times New Roman"/>
          <w:b/>
          <w:bCs/>
          <w:color w:val="74005E" w:themeColor="accent3" w:themeShade="BF"/>
          <w:sz w:val="28"/>
          <w:szCs w:val="28"/>
          <w:rtl/>
        </w:rPr>
        <w:br/>
        <w:t>الشئون التي ينفرد الاتحاد بالتشريع والتنفيذ فيها كما يلي:</w:t>
      </w:r>
      <w:r w:rsidRPr="00120ED1">
        <w:rPr>
          <w:rFonts w:ascii="Times New Roman" w:eastAsia="Times New Roman" w:hAnsi="Times New Roman" w:cs="Times New Roman"/>
          <w:b/>
          <w:bCs/>
          <w:color w:val="74005E" w:themeColor="accent3" w:themeShade="BF"/>
          <w:sz w:val="28"/>
          <w:szCs w:val="28"/>
          <w:rtl/>
        </w:rPr>
        <w:br/>
        <w:t>(1) الشئون الخارجية .</w:t>
      </w:r>
      <w:r w:rsidRPr="00120ED1">
        <w:rPr>
          <w:rFonts w:ascii="Times New Roman" w:eastAsia="Times New Roman" w:hAnsi="Times New Roman" w:cs="Times New Roman"/>
          <w:b/>
          <w:bCs/>
          <w:color w:val="74005E" w:themeColor="accent3" w:themeShade="BF"/>
          <w:sz w:val="28"/>
          <w:szCs w:val="28"/>
          <w:rtl/>
        </w:rPr>
        <w:br/>
        <w:t>(2) الدفاع والقوات المسلحة.</w:t>
      </w:r>
      <w:r w:rsidRPr="00120ED1">
        <w:rPr>
          <w:rFonts w:ascii="Times New Roman" w:eastAsia="Times New Roman" w:hAnsi="Times New Roman" w:cs="Times New Roman"/>
          <w:b/>
          <w:bCs/>
          <w:color w:val="74005E" w:themeColor="accent3" w:themeShade="BF"/>
          <w:sz w:val="28"/>
          <w:szCs w:val="28"/>
          <w:rtl/>
        </w:rPr>
        <w:br/>
        <w:t>(3) حماية أمن الاتحاد مما يتهدده من الخارج أو الداخل .</w:t>
      </w:r>
      <w:r w:rsidRPr="00120ED1">
        <w:rPr>
          <w:rFonts w:ascii="Times New Roman" w:eastAsia="Times New Roman" w:hAnsi="Times New Roman" w:cs="Times New Roman"/>
          <w:b/>
          <w:bCs/>
          <w:color w:val="74005E" w:themeColor="accent3" w:themeShade="BF"/>
          <w:sz w:val="28"/>
          <w:szCs w:val="28"/>
          <w:rtl/>
        </w:rPr>
        <w:br/>
        <w:t>(4) شئون موظفي الاتحاد والقضاء الاتحادي .</w:t>
      </w:r>
      <w:r w:rsidRPr="00120ED1">
        <w:rPr>
          <w:rFonts w:ascii="Times New Roman" w:eastAsia="Times New Roman" w:hAnsi="Times New Roman" w:cs="Times New Roman"/>
          <w:b/>
          <w:bCs/>
          <w:color w:val="74005E" w:themeColor="accent3" w:themeShade="BF"/>
          <w:sz w:val="28"/>
          <w:szCs w:val="28"/>
          <w:rtl/>
        </w:rPr>
        <w:br/>
        <w:t>(5) مالية الاتحاد والضرائب والرسوم والعوائد الاتحادية .</w:t>
      </w:r>
      <w:r w:rsidRPr="00120ED1">
        <w:rPr>
          <w:rFonts w:ascii="Times New Roman" w:eastAsia="Times New Roman" w:hAnsi="Times New Roman" w:cs="Times New Roman"/>
          <w:b/>
          <w:bCs/>
          <w:color w:val="74005E" w:themeColor="accent3" w:themeShade="BF"/>
          <w:sz w:val="28"/>
          <w:szCs w:val="28"/>
          <w:rtl/>
        </w:rPr>
        <w:br/>
        <w:t>(6) القروض العامة الاتحادية .</w:t>
      </w:r>
      <w:r w:rsidRPr="00120ED1">
        <w:rPr>
          <w:rFonts w:ascii="Times New Roman" w:eastAsia="Times New Roman" w:hAnsi="Times New Roman" w:cs="Times New Roman"/>
          <w:b/>
          <w:bCs/>
          <w:color w:val="74005E" w:themeColor="accent3" w:themeShade="BF"/>
          <w:sz w:val="28"/>
          <w:szCs w:val="28"/>
          <w:rtl/>
        </w:rPr>
        <w:br/>
        <w:t>(7) الخدمات البريدية والبرقيات الهاتفية واللاسلكية.</w:t>
      </w:r>
      <w:r w:rsidRPr="00120ED1">
        <w:rPr>
          <w:rFonts w:ascii="Times New Roman" w:eastAsia="Times New Roman" w:hAnsi="Times New Roman" w:cs="Times New Roman"/>
          <w:b/>
          <w:bCs/>
          <w:color w:val="74005E" w:themeColor="accent3" w:themeShade="BF"/>
          <w:sz w:val="28"/>
          <w:szCs w:val="28"/>
          <w:rtl/>
        </w:rPr>
        <w:br/>
        <w:t>(8) شق الطرق الاتحادية التي يقرر المجلس الأعلى أنها طرق رئيسية وصيانتها وتحسينها وتنظيم حركة المرور على هذه الطرق .</w:t>
      </w:r>
      <w:r w:rsidRPr="00120ED1">
        <w:rPr>
          <w:rFonts w:ascii="Times New Roman" w:eastAsia="Times New Roman" w:hAnsi="Times New Roman" w:cs="Times New Roman"/>
          <w:b/>
          <w:bCs/>
          <w:color w:val="74005E" w:themeColor="accent3" w:themeShade="BF"/>
          <w:sz w:val="28"/>
          <w:szCs w:val="28"/>
          <w:rtl/>
        </w:rPr>
        <w:br/>
        <w:t>(9) المراقبة الجوية وإصدار تراخيص الطائرات والطيارين .</w:t>
      </w:r>
      <w:r w:rsidRPr="00120ED1">
        <w:rPr>
          <w:rFonts w:ascii="Times New Roman" w:eastAsia="Times New Roman" w:hAnsi="Times New Roman" w:cs="Times New Roman"/>
          <w:b/>
          <w:bCs/>
          <w:color w:val="74005E" w:themeColor="accent3" w:themeShade="BF"/>
          <w:sz w:val="28"/>
          <w:szCs w:val="28"/>
          <w:rtl/>
        </w:rPr>
        <w:br/>
        <w:t>(10) التعليم .</w:t>
      </w:r>
      <w:r w:rsidRPr="00120ED1">
        <w:rPr>
          <w:rFonts w:ascii="Times New Roman" w:eastAsia="Times New Roman" w:hAnsi="Times New Roman" w:cs="Times New Roman"/>
          <w:b/>
          <w:bCs/>
          <w:color w:val="74005E" w:themeColor="accent3" w:themeShade="BF"/>
          <w:sz w:val="28"/>
          <w:szCs w:val="28"/>
          <w:rtl/>
        </w:rPr>
        <w:br/>
        <w:t>(11) الصحة العامة والخدمات الطبية.</w:t>
      </w:r>
      <w:r w:rsidRPr="00120ED1">
        <w:rPr>
          <w:rFonts w:ascii="Times New Roman" w:eastAsia="Times New Roman" w:hAnsi="Times New Roman" w:cs="Times New Roman"/>
          <w:b/>
          <w:bCs/>
          <w:color w:val="74005E" w:themeColor="accent3" w:themeShade="BF"/>
          <w:sz w:val="28"/>
          <w:szCs w:val="28"/>
          <w:rtl/>
        </w:rPr>
        <w:br/>
        <w:t>(12) النقد والعملة .</w:t>
      </w:r>
      <w:r w:rsidRPr="00120ED1">
        <w:rPr>
          <w:rFonts w:ascii="Times New Roman" w:eastAsia="Times New Roman" w:hAnsi="Times New Roman" w:cs="Times New Roman"/>
          <w:b/>
          <w:bCs/>
          <w:color w:val="74005E" w:themeColor="accent3" w:themeShade="BF"/>
          <w:sz w:val="28"/>
          <w:szCs w:val="28"/>
          <w:rtl/>
        </w:rPr>
        <w:br/>
        <w:t>(13) المقاييس والمكاييل والموازين.</w:t>
      </w:r>
      <w:r w:rsidRPr="00120ED1">
        <w:rPr>
          <w:rFonts w:ascii="Times New Roman" w:eastAsia="Times New Roman" w:hAnsi="Times New Roman" w:cs="Times New Roman"/>
          <w:b/>
          <w:bCs/>
          <w:color w:val="74005E" w:themeColor="accent3" w:themeShade="BF"/>
          <w:sz w:val="28"/>
          <w:szCs w:val="28"/>
          <w:rtl/>
        </w:rPr>
        <w:br/>
        <w:t>(14) خدمات الكهرباء .</w:t>
      </w:r>
      <w:r w:rsidRPr="00120ED1">
        <w:rPr>
          <w:rFonts w:ascii="Times New Roman" w:eastAsia="Times New Roman" w:hAnsi="Times New Roman" w:cs="Times New Roman"/>
          <w:b/>
          <w:bCs/>
          <w:color w:val="74005E" w:themeColor="accent3" w:themeShade="BF"/>
          <w:sz w:val="28"/>
          <w:szCs w:val="28"/>
          <w:rtl/>
        </w:rPr>
        <w:br/>
        <w:t>(15) الجنسية الاتحادية والجوازات والإسلامية والهجرة .</w:t>
      </w:r>
      <w:r w:rsidRPr="00120ED1">
        <w:rPr>
          <w:rFonts w:ascii="Times New Roman" w:eastAsia="Times New Roman" w:hAnsi="Times New Roman" w:cs="Times New Roman"/>
          <w:b/>
          <w:bCs/>
          <w:color w:val="74005E" w:themeColor="accent3" w:themeShade="BF"/>
          <w:sz w:val="28"/>
          <w:szCs w:val="28"/>
          <w:rtl/>
        </w:rPr>
        <w:br/>
        <w:t>(16) أملاك الاتحاد وكل ما يتعلق بها.</w:t>
      </w:r>
      <w:r w:rsidRPr="00120ED1">
        <w:rPr>
          <w:rFonts w:ascii="Times New Roman" w:eastAsia="Times New Roman" w:hAnsi="Times New Roman" w:cs="Times New Roman"/>
          <w:b/>
          <w:bCs/>
          <w:color w:val="74005E" w:themeColor="accent3" w:themeShade="BF"/>
          <w:sz w:val="28"/>
          <w:szCs w:val="28"/>
          <w:rtl/>
        </w:rPr>
        <w:br/>
        <w:t>(17) شئون التعداد والإحصاء الخاصة بأغراض الاتحاد .</w:t>
      </w:r>
      <w:r w:rsidRPr="00120ED1">
        <w:rPr>
          <w:rFonts w:ascii="Times New Roman" w:eastAsia="Times New Roman" w:hAnsi="Times New Roman" w:cs="Times New Roman"/>
          <w:b/>
          <w:bCs/>
          <w:color w:val="74005E" w:themeColor="accent3" w:themeShade="BF"/>
          <w:sz w:val="28"/>
          <w:szCs w:val="28"/>
          <w:rtl/>
        </w:rPr>
        <w:br/>
        <w:t>(18) الاعلام الاتحادي .</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 xml:space="preserve">الشئون التي ينفرد الاتحاد </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 xml:space="preserve">علاقات العمل والعمال والتأمينات الاجتماعية والملكية العقارية ونزع الملكية للمنفعة العامة وتسليم المجرمين والبنوك والتأمين بأنواعه وحماية الثروة الزراعية والحيوانية والتشريعات الكبرى المتعلقة بقوانين الجزاء والمعاملات المدنية والتجارية والشركات والإجراءات أمام المحاكم المدنية والجزائية </w:t>
      </w:r>
      <w:r w:rsidRPr="00120ED1">
        <w:rPr>
          <w:rFonts w:ascii="Times New Roman" w:eastAsia="Times New Roman" w:hAnsi="Times New Roman" w:cs="Times New Roman"/>
          <w:b/>
          <w:bCs/>
          <w:color w:val="74005E" w:themeColor="accent3" w:themeShade="BF"/>
          <w:sz w:val="28"/>
          <w:szCs w:val="28"/>
          <w:rtl/>
        </w:rPr>
        <w:lastRenderedPageBreak/>
        <w:t>وحماية الملكية الأدبية والفنية والصناعية وحقوق المؤلفين والمطبوعات والنشر واستيراد الأسلحة والذخائر ما لم تكن لاستعمال القوات المسلحة أو قوات الأمن التابعة لأي إليها وشئون الطيران الأخرى التي لا تدخل في اختصاصات الاتحاد التنفيذية وتحديد المياه الإقليمية وتنظيم الملاحة في أعالي البحار . وهكذا حدد الدستور على سبيل الحصر المرافق والخدمات التي تختص الدولة الاتحادية وحدها بالتشريع والتنفيذ بشأنها , وتلك التي تختص بالتشريع في مجالها .</w:t>
      </w:r>
      <w:r w:rsidRPr="00120ED1">
        <w:rPr>
          <w:rFonts w:ascii="Times New Roman" w:eastAsia="Times New Roman" w:hAnsi="Times New Roman" w:cs="Times New Roman"/>
          <w:b/>
          <w:bCs/>
          <w:color w:val="74005E" w:themeColor="accent3" w:themeShade="BF"/>
          <w:sz w:val="28"/>
          <w:szCs w:val="28"/>
          <w:rtl/>
        </w:rPr>
        <w:br/>
        <w:t>ولذلك تختص الإمارات وفق الدستور بكل ما لا تنفرد به السلطات الاتحادية طبقا للدستور الذي يؤكد في المادة 117 منه على أن الحكم في كل إمارة يستهدف بوجه خاص.. الأمن والنظام داخل أراضيها وتوفير المرافق العامة ورفع المستوى الاجتماعي والاقتصادي فيها .</w:t>
      </w:r>
      <w:r w:rsidRPr="00120ED1">
        <w:rPr>
          <w:rFonts w:ascii="Times New Roman" w:eastAsia="Times New Roman" w:hAnsi="Times New Roman" w:cs="Times New Roman"/>
          <w:b/>
          <w:bCs/>
          <w:color w:val="74005E" w:themeColor="accent3" w:themeShade="BF"/>
          <w:sz w:val="28"/>
          <w:szCs w:val="28"/>
          <w:rtl/>
        </w:rPr>
        <w:br/>
        <w:t xml:space="preserve">ومن ناحية أخرى نجد أن المادة 18 منه تقضى دعما للاتجاه الوحدوي بين الإمارات سياسيا وتشريعيا وإداريا بأن تعمل الإمارات الأعضاء في الاتحاد جميعا على تنسيق تشريعاتها في مختلف المجالات بقصد توحيدها قدر الإمكان , ويجوز لأي إمارتين أو أكثر بعد مصادقة المجلس الأعلى التكتل في وحدة سياسية أو إدارية أو توحيد كل أو بعض مرافقها العامة أو إنشاء إدارة واحدة مشتركة للقيام بأي مرفق من هذه المرافق . </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المحاكم الاتحادية الابتدائية</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تنظر المحاكم الاتحادية الابتدائية في المنازعات المدنية والتجارية والجرائم التي ترتكب وقضايا الأحوال الشخصية.</w:t>
      </w:r>
      <w:r w:rsidRPr="00120ED1">
        <w:rPr>
          <w:rFonts w:ascii="Times New Roman" w:eastAsia="Times New Roman" w:hAnsi="Times New Roman" w:cs="Times New Roman"/>
          <w:b/>
          <w:bCs/>
          <w:color w:val="74005E" w:themeColor="accent3" w:themeShade="BF"/>
          <w:sz w:val="28"/>
          <w:szCs w:val="28"/>
          <w:rtl/>
        </w:rPr>
        <w:br/>
        <w:t xml:space="preserve">وينظم القانون كل ما يتعلق بتلك المحاكم ويجوز أن ينص علي استئناف أحكامها أمام إحدى دوائر المحكمة الاتحادية العليا . </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الحكومات المحلية</w:t>
      </w:r>
    </w:p>
    <w:p w:rsidR="00120ED1" w:rsidRPr="00120ED1" w:rsidRDefault="00120ED1" w:rsidP="00120ED1">
      <w:pPr>
        <w:bidi/>
        <w:spacing w:before="100" w:beforeAutospacing="1" w:after="100" w:afterAutospacing="1" w:line="240" w:lineRule="auto"/>
        <w:rPr>
          <w:rFonts w:ascii="Times New Roman" w:eastAsia="Times New Roman" w:hAnsi="Times New Roman" w:cs="Times New Roman"/>
          <w:b/>
          <w:bCs/>
          <w:color w:val="74005E" w:themeColor="accent3" w:themeShade="BF"/>
          <w:sz w:val="28"/>
          <w:szCs w:val="28"/>
          <w:rtl/>
        </w:rPr>
      </w:pPr>
      <w:r w:rsidRPr="00120ED1">
        <w:rPr>
          <w:rFonts w:ascii="Times New Roman" w:eastAsia="Times New Roman" w:hAnsi="Times New Roman" w:cs="Times New Roman"/>
          <w:b/>
          <w:bCs/>
          <w:color w:val="74005E" w:themeColor="accent3" w:themeShade="BF"/>
          <w:sz w:val="28"/>
          <w:szCs w:val="28"/>
          <w:rtl/>
        </w:rPr>
        <w:br/>
        <w:t>منح الدستور المؤقت الإمارات الأعضاء بموجب المادة الثالثة من الباب الأول الحق في ممارسة السيادة على أراضيها ومياهها الإقليمية في جميع الشئون التي لا يختص بها الاتحاد , ولكنه شدد على الروابط الاتحادية بين الإمارات السبع حين أوضح في المادة 151 أن لأحكام الدستور السيادة على دساتير الإمارات الأعضاء في الاتحاد , وللقوانين الاتحادية التي تصدر وفقا لأحكامه الأولوية على التشريعات واللوائح والقرارات الصادرة عن سلطات الإمارات .</w:t>
      </w:r>
      <w:r w:rsidRPr="00120ED1">
        <w:rPr>
          <w:rFonts w:ascii="Times New Roman" w:eastAsia="Times New Roman" w:hAnsi="Times New Roman" w:cs="Times New Roman"/>
          <w:b/>
          <w:bCs/>
          <w:color w:val="74005E" w:themeColor="accent3" w:themeShade="BF"/>
          <w:sz w:val="28"/>
          <w:szCs w:val="28"/>
          <w:rtl/>
        </w:rPr>
        <w:br/>
        <w:t xml:space="preserve">وقد حرص الدستور على أن يحدد بدقة الأمور التي ينفرد بها الاتحاد تشريعا وتنفيذا , وتلك التي يقوم فيها بالتشريع فقط تاركا التنفيذ للسلطات المعنية المختصة في الإمارات وهو توزيع يقوم على تقدير أن هناك من الأمور ما يتطلب قيام الحكومة الاتحادية عليه بالكامل تأكيدا لمسئولية الدولة على مستوى جميع أقاليمها , واختصاصات أخرى حدد المشرع الدستوري أن صالح الأفراد يوجب تخليصها من مركزية القرار تاركاُ أمر تنفيذها للسلطات المحلية . </w:t>
      </w:r>
    </w:p>
    <w:p w:rsidR="000C35C3" w:rsidRDefault="000C35C3" w:rsidP="00120ED1">
      <w:pPr>
        <w:jc w:val="center"/>
        <w:rPr>
          <w:rFonts w:hint="cs"/>
          <w:b/>
          <w:bCs/>
          <w:color w:val="E80061" w:themeColor="accent1" w:themeShade="BF"/>
          <w:sz w:val="24"/>
          <w:szCs w:val="24"/>
          <w:rtl/>
        </w:rPr>
      </w:pPr>
    </w:p>
    <w:p w:rsidR="00120ED1" w:rsidRDefault="00120ED1" w:rsidP="00120ED1">
      <w:pPr>
        <w:jc w:val="center"/>
        <w:rPr>
          <w:rFonts w:hint="cs"/>
          <w:b/>
          <w:bCs/>
          <w:color w:val="E80061" w:themeColor="accent1" w:themeShade="BF"/>
          <w:sz w:val="24"/>
          <w:szCs w:val="24"/>
          <w:rtl/>
        </w:rPr>
      </w:pPr>
    </w:p>
    <w:p w:rsidR="00120ED1" w:rsidRPr="00120ED1" w:rsidRDefault="00120ED1" w:rsidP="00120ED1">
      <w:pPr>
        <w:jc w:val="center"/>
        <w:rPr>
          <w:b/>
          <w:bCs/>
          <w:color w:val="E80061" w:themeColor="accent1" w:themeShade="BF"/>
          <w:sz w:val="24"/>
          <w:szCs w:val="24"/>
        </w:rPr>
      </w:pPr>
      <w:r>
        <w:rPr>
          <w:b/>
          <w:bCs/>
          <w:noProof/>
          <w:color w:val="E80061" w:themeColor="accent1" w:themeShade="BF"/>
          <w:sz w:val="24"/>
          <w:szCs w:val="24"/>
        </w:rPr>
        <w:lastRenderedPageBreak/>
        <w:pict>
          <v:roundrect id="_x0000_s1029" style="position:absolute;left:0;text-align:left;margin-left:16.5pt;margin-top:-36pt;width:113.25pt;height:125.25pt;z-index:251661312" arcsize="10923f" fillcolor="white [3201]" strokecolor="#9c007f [3206]" strokeweight="5pt">
            <v:stroke linestyle="thickThin"/>
            <v:shadow color="#868686"/>
            <v:textbox style="mso-next-textbox:#_x0000_s1029">
              <w:txbxContent>
                <w:p w:rsidR="00120ED1" w:rsidRDefault="00120ED1">
                  <w:r>
                    <w:rPr>
                      <w:noProof/>
                    </w:rPr>
                    <w:drawing>
                      <wp:inline distT="0" distB="0" distL="0" distR="0">
                        <wp:extent cx="1075690" cy="121843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1075690" cy="1218436"/>
                                </a:xfrm>
                                <a:prstGeom prst="rect">
                                  <a:avLst/>
                                </a:prstGeom>
                                <a:noFill/>
                                <a:ln w="9525">
                                  <a:noFill/>
                                  <a:miter lim="800000"/>
                                  <a:headEnd/>
                                  <a:tailEnd/>
                                </a:ln>
                              </pic:spPr>
                            </pic:pic>
                          </a:graphicData>
                        </a:graphic>
                      </wp:inline>
                    </w:drawing>
                  </w:r>
                </w:p>
              </w:txbxContent>
            </v:textbox>
          </v:roundrect>
        </w:pict>
      </w:r>
      <w:r>
        <w:rPr>
          <w:b/>
          <w:bCs/>
          <w:noProof/>
          <w:color w:val="E80061" w:themeColor="accent1" w:themeShade="BF"/>
          <w:sz w:val="24"/>
          <w:szCs w:val="24"/>
        </w:rPr>
        <w:pict>
          <v:roundrect id="_x0000_s1028" style="position:absolute;left:0;text-align:left;margin-left:158.25pt;margin-top:99pt;width:168.75pt;height:138.75pt;z-index:251660288" arcsize="17309f" fillcolor="white [3201]" strokecolor="#9c007f [3206]" strokeweight="5pt">
            <v:stroke linestyle="thickThin"/>
            <v:shadow color="#868686"/>
            <v:textbox>
              <w:txbxContent>
                <w:p w:rsidR="00120ED1" w:rsidRDefault="00120ED1">
                  <w:r>
                    <w:rPr>
                      <w:noProof/>
                    </w:rPr>
                    <w:drawing>
                      <wp:inline distT="0" distB="0" distL="0" distR="0">
                        <wp:extent cx="1666875" cy="1352244"/>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670411" cy="1355112"/>
                                </a:xfrm>
                                <a:prstGeom prst="rect">
                                  <a:avLst/>
                                </a:prstGeom>
                                <a:noFill/>
                                <a:ln w="9525">
                                  <a:noFill/>
                                  <a:miter lim="800000"/>
                                  <a:headEnd/>
                                  <a:tailEnd/>
                                </a:ln>
                              </pic:spPr>
                            </pic:pic>
                          </a:graphicData>
                        </a:graphic>
                      </wp:inline>
                    </w:drawing>
                  </w:r>
                </w:p>
              </w:txbxContent>
            </v:textbox>
          </v:roundrect>
        </w:pict>
      </w:r>
      <w:r>
        <w:rPr>
          <w:b/>
          <w:bCs/>
          <w:noProof/>
          <w:color w:val="E80061" w:themeColor="accent1" w:themeShade="BF"/>
          <w:sz w:val="24"/>
          <w:szCs w:val="24"/>
        </w:rPr>
        <w:pict>
          <v:roundrect id="_x0000_s1027" style="position:absolute;left:0;text-align:left;margin-left:69pt;margin-top:264.75pt;width:379.5pt;height:324pt;z-index:251659264" arcsize="10923f" fillcolor="white [3201]" strokecolor="#9c007f [3206]" strokeweight="5pt">
            <v:stroke linestyle="thickThin"/>
            <v:shadow color="#868686"/>
            <v:textbox>
              <w:txbxContent>
                <w:p w:rsidR="00120ED1" w:rsidRPr="00120ED1" w:rsidRDefault="00120ED1" w:rsidP="00120ED1">
                  <w:pPr>
                    <w:jc w:val="center"/>
                    <w:rPr>
                      <w:rFonts w:hint="cs"/>
                      <w:b/>
                      <w:bCs/>
                      <w:color w:val="74005E" w:themeColor="accent3" w:themeShade="BF"/>
                      <w:sz w:val="28"/>
                      <w:szCs w:val="28"/>
                      <w:rtl/>
                    </w:rPr>
                  </w:pPr>
                </w:p>
                <w:p w:rsidR="00120ED1" w:rsidRPr="00120ED1" w:rsidRDefault="00120ED1" w:rsidP="00120ED1">
                  <w:pPr>
                    <w:jc w:val="center"/>
                    <w:rPr>
                      <w:rFonts w:ascii="Tahoma" w:hAnsi="Tahoma" w:cs="Tahoma"/>
                      <w:b/>
                      <w:bCs/>
                      <w:color w:val="74005E" w:themeColor="accent3" w:themeShade="BF"/>
                      <w:sz w:val="28"/>
                      <w:szCs w:val="28"/>
                      <w:rtl/>
                    </w:rPr>
                  </w:pPr>
                </w:p>
                <w:p w:rsidR="00120ED1" w:rsidRPr="00120ED1" w:rsidRDefault="00120ED1" w:rsidP="00120ED1">
                  <w:pPr>
                    <w:jc w:val="center"/>
                    <w:rPr>
                      <w:rFonts w:ascii="Tahoma" w:hAnsi="Tahoma" w:cs="Tahoma"/>
                      <w:b/>
                      <w:bCs/>
                      <w:color w:val="74005E" w:themeColor="accent3" w:themeShade="BF"/>
                      <w:sz w:val="28"/>
                      <w:szCs w:val="28"/>
                      <w:rtl/>
                    </w:rPr>
                  </w:pPr>
                  <w:r w:rsidRPr="00120ED1">
                    <w:rPr>
                      <w:rFonts w:ascii="Tahoma" w:hAnsi="Tahoma" w:cs="Tahoma"/>
                      <w:b/>
                      <w:bCs/>
                      <w:color w:val="74005E" w:themeColor="accent3" w:themeShade="BF"/>
                      <w:sz w:val="28"/>
                      <w:szCs w:val="28"/>
                      <w:rtl/>
                    </w:rPr>
                    <w:t xml:space="preserve">تقرير عن درس </w:t>
                  </w:r>
                </w:p>
                <w:p w:rsidR="00120ED1" w:rsidRPr="00120ED1" w:rsidRDefault="00120ED1" w:rsidP="00120ED1">
                  <w:pPr>
                    <w:jc w:val="center"/>
                    <w:rPr>
                      <w:rFonts w:ascii="Tahoma" w:hAnsi="Tahoma" w:cs="Tahoma"/>
                      <w:b/>
                      <w:bCs/>
                      <w:color w:val="FF388C" w:themeColor="accent1"/>
                      <w:sz w:val="28"/>
                      <w:szCs w:val="28"/>
                      <w:u w:val="single"/>
                      <w:rtl/>
                    </w:rPr>
                  </w:pPr>
                  <w:r w:rsidRPr="00120ED1">
                    <w:rPr>
                      <w:rFonts w:ascii="Tahoma" w:hAnsi="Tahoma" w:cs="Tahoma"/>
                      <w:b/>
                      <w:bCs/>
                      <w:color w:val="FF388C" w:themeColor="accent1"/>
                      <w:sz w:val="28"/>
                      <w:szCs w:val="28"/>
                      <w:u w:val="single"/>
                      <w:rtl/>
                    </w:rPr>
                    <w:t xml:space="preserve">القضاء الاتحادي _ محكمه عليا </w:t>
                  </w:r>
                </w:p>
                <w:p w:rsidR="00120ED1" w:rsidRPr="00120ED1" w:rsidRDefault="00120ED1" w:rsidP="00120ED1">
                  <w:pPr>
                    <w:jc w:val="center"/>
                    <w:rPr>
                      <w:rFonts w:ascii="Tahoma" w:hAnsi="Tahoma" w:cs="Tahoma"/>
                      <w:b/>
                      <w:bCs/>
                      <w:color w:val="74005E" w:themeColor="accent3" w:themeShade="BF"/>
                      <w:sz w:val="28"/>
                      <w:szCs w:val="28"/>
                      <w:rtl/>
                    </w:rPr>
                  </w:pPr>
                </w:p>
                <w:p w:rsidR="00120ED1" w:rsidRPr="00120ED1" w:rsidRDefault="00120ED1" w:rsidP="00293023">
                  <w:pPr>
                    <w:jc w:val="center"/>
                    <w:rPr>
                      <w:rFonts w:ascii="Tahoma" w:hAnsi="Tahoma" w:cs="Tahoma"/>
                      <w:b/>
                      <w:bCs/>
                      <w:color w:val="74005E" w:themeColor="accent3" w:themeShade="BF"/>
                      <w:sz w:val="28"/>
                      <w:szCs w:val="28"/>
                      <w:rtl/>
                    </w:rPr>
                  </w:pPr>
                  <w:r w:rsidRPr="00120ED1">
                    <w:rPr>
                      <w:rFonts w:ascii="Tahoma" w:hAnsi="Tahoma" w:cs="Tahoma"/>
                      <w:b/>
                      <w:bCs/>
                      <w:color w:val="74005E" w:themeColor="accent3" w:themeShade="BF"/>
                      <w:sz w:val="28"/>
                      <w:szCs w:val="28"/>
                      <w:rtl/>
                    </w:rPr>
                    <w:t xml:space="preserve">عمل الطالبه: </w:t>
                  </w:r>
                </w:p>
                <w:p w:rsidR="00120ED1" w:rsidRPr="00120ED1" w:rsidRDefault="00120ED1" w:rsidP="00293023">
                  <w:pPr>
                    <w:jc w:val="center"/>
                    <w:rPr>
                      <w:rFonts w:ascii="Tahoma" w:hAnsi="Tahoma" w:cs="Tahoma"/>
                      <w:b/>
                      <w:bCs/>
                      <w:color w:val="74005E" w:themeColor="accent3" w:themeShade="BF"/>
                      <w:sz w:val="28"/>
                      <w:szCs w:val="28"/>
                      <w:rtl/>
                    </w:rPr>
                  </w:pPr>
                  <w:r w:rsidRPr="00120ED1">
                    <w:rPr>
                      <w:rFonts w:ascii="Tahoma" w:hAnsi="Tahoma" w:cs="Tahoma"/>
                      <w:b/>
                      <w:bCs/>
                      <w:color w:val="74005E" w:themeColor="accent3" w:themeShade="BF"/>
                      <w:sz w:val="28"/>
                      <w:szCs w:val="28"/>
                      <w:rtl/>
                    </w:rPr>
                    <w:t xml:space="preserve">صف : تاسع / </w:t>
                  </w:r>
                </w:p>
                <w:p w:rsidR="00120ED1" w:rsidRPr="00120ED1" w:rsidRDefault="00120ED1" w:rsidP="00293023">
                  <w:pPr>
                    <w:jc w:val="center"/>
                    <w:rPr>
                      <w:b/>
                      <w:bCs/>
                      <w:color w:val="74005E" w:themeColor="accent3" w:themeShade="BF"/>
                      <w:sz w:val="28"/>
                      <w:szCs w:val="28"/>
                    </w:rPr>
                  </w:pPr>
                  <w:r w:rsidRPr="00120ED1">
                    <w:rPr>
                      <w:rFonts w:ascii="Tahoma" w:hAnsi="Tahoma" w:cs="Tahoma"/>
                      <w:b/>
                      <w:bCs/>
                      <w:color w:val="74005E" w:themeColor="accent3" w:themeShade="BF"/>
                      <w:sz w:val="28"/>
                      <w:szCs w:val="28"/>
                      <w:rtl/>
                    </w:rPr>
                    <w:t>اشراف الاستاذه :</w:t>
                  </w:r>
                </w:p>
              </w:txbxContent>
            </v:textbox>
          </v:roundrect>
        </w:pict>
      </w:r>
      <w:r>
        <w:rPr>
          <w:b/>
          <w:bCs/>
          <w:noProof/>
          <w:color w:val="E80061" w:themeColor="accent1" w:themeShade="BF"/>
          <w:sz w:val="24"/>
          <w:szCs w:val="24"/>
        </w:rPr>
        <w:pict>
          <v:roundrect id="_x0000_s1026" style="position:absolute;left:0;text-align:left;margin-left:-22.5pt;margin-top:-30pt;width:537pt;height:109.5pt;z-index:251658240" arcsize="25735f" fillcolor="white [3201]" strokecolor="#9c007f [3206]" strokeweight="5pt">
            <v:stroke linestyle="thickThin"/>
            <v:shadow color="#868686"/>
            <v:textbox>
              <w:txbxContent>
                <w:p w:rsidR="00120ED1" w:rsidRPr="00120ED1" w:rsidRDefault="00120ED1" w:rsidP="00120ED1">
                  <w:pPr>
                    <w:jc w:val="right"/>
                    <w:rPr>
                      <w:rFonts w:hint="cs"/>
                      <w:b/>
                      <w:bCs/>
                      <w:color w:val="74005E" w:themeColor="accent3" w:themeShade="BF"/>
                      <w:sz w:val="24"/>
                      <w:szCs w:val="24"/>
                      <w:rtl/>
                    </w:rPr>
                  </w:pPr>
                  <w:r w:rsidRPr="00120ED1">
                    <w:rPr>
                      <w:rFonts w:hint="cs"/>
                      <w:b/>
                      <w:bCs/>
                      <w:color w:val="74005E" w:themeColor="accent3" w:themeShade="BF"/>
                      <w:sz w:val="24"/>
                      <w:szCs w:val="24"/>
                      <w:rtl/>
                    </w:rPr>
                    <w:t>وزاره التربيه و التعليم</w:t>
                  </w:r>
                </w:p>
                <w:p w:rsidR="00120ED1" w:rsidRPr="00120ED1" w:rsidRDefault="00120ED1" w:rsidP="00120ED1">
                  <w:pPr>
                    <w:jc w:val="right"/>
                    <w:rPr>
                      <w:rFonts w:hint="cs"/>
                      <w:b/>
                      <w:bCs/>
                      <w:color w:val="74005E" w:themeColor="accent3" w:themeShade="BF"/>
                      <w:sz w:val="24"/>
                      <w:szCs w:val="24"/>
                      <w:rtl/>
                    </w:rPr>
                  </w:pPr>
                  <w:r w:rsidRPr="00120ED1">
                    <w:rPr>
                      <w:rFonts w:hint="cs"/>
                      <w:b/>
                      <w:bCs/>
                      <w:color w:val="74005E" w:themeColor="accent3" w:themeShade="BF"/>
                      <w:sz w:val="24"/>
                      <w:szCs w:val="24"/>
                      <w:rtl/>
                    </w:rPr>
                    <w:t>منطقه رأس الخيمه التعليميه</w:t>
                  </w:r>
                  <w:r>
                    <w:rPr>
                      <w:rFonts w:hint="cs"/>
                      <w:b/>
                      <w:bCs/>
                      <w:color w:val="74005E" w:themeColor="accent3" w:themeShade="BF"/>
                      <w:sz w:val="24"/>
                      <w:szCs w:val="24"/>
                      <w:rtl/>
                    </w:rPr>
                    <w:t xml:space="preserve">                                                               </w:t>
                  </w:r>
                </w:p>
                <w:p w:rsidR="00120ED1" w:rsidRPr="00120ED1" w:rsidRDefault="00120ED1" w:rsidP="00293023">
                  <w:pPr>
                    <w:jc w:val="right"/>
                    <w:rPr>
                      <w:b/>
                      <w:bCs/>
                      <w:color w:val="74005E" w:themeColor="accent3" w:themeShade="BF"/>
                      <w:sz w:val="24"/>
                      <w:szCs w:val="24"/>
                    </w:rPr>
                  </w:pPr>
                  <w:r w:rsidRPr="00120ED1">
                    <w:rPr>
                      <w:rFonts w:hint="cs"/>
                      <w:b/>
                      <w:bCs/>
                      <w:color w:val="74005E" w:themeColor="accent3" w:themeShade="BF"/>
                      <w:sz w:val="24"/>
                      <w:szCs w:val="24"/>
                      <w:rtl/>
                    </w:rPr>
                    <w:t xml:space="preserve">مدرسه </w:t>
                  </w:r>
                </w:p>
              </w:txbxContent>
            </v:textbox>
          </v:roundrect>
        </w:pict>
      </w:r>
    </w:p>
    <w:sectPr w:rsidR="00120ED1" w:rsidRPr="00120ED1" w:rsidSect="000C35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0ED1"/>
    <w:rsid w:val="000C35C3"/>
    <w:rsid w:val="00120ED1"/>
    <w:rsid w:val="0014280F"/>
    <w:rsid w:val="0029302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5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0ED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20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E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0934398">
      <w:bodyDiv w:val="1"/>
      <w:marLeft w:val="0"/>
      <w:marRight w:val="0"/>
      <w:marTop w:val="0"/>
      <w:marBottom w:val="0"/>
      <w:divBdr>
        <w:top w:val="none" w:sz="0" w:space="0" w:color="auto"/>
        <w:left w:val="none" w:sz="0" w:space="0" w:color="auto"/>
        <w:bottom w:val="none" w:sz="0" w:space="0" w:color="auto"/>
        <w:right w:val="none" w:sz="0" w:space="0" w:color="auto"/>
      </w:divBdr>
      <w:divsChild>
        <w:div w:id="574169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D7DA2-4DF7-4974-BB27-22831FCA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2011-02-02T06:04:00Z</cp:lastPrinted>
  <dcterms:created xsi:type="dcterms:W3CDTF">2011-02-02T05:54:00Z</dcterms:created>
  <dcterms:modified xsi:type="dcterms:W3CDTF">2011-02-02T06:08:00Z</dcterms:modified>
</cp:coreProperties>
</file>