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E0D" w:rsidRDefault="007E7E0D" w:rsidP="002447CF">
      <w:pPr>
        <w:jc w:val="center"/>
        <w:rPr>
          <w:rFonts w:cs="Al-Mujahed Free"/>
          <w:color w:val="00B050"/>
          <w:sz w:val="44"/>
          <w:szCs w:val="44"/>
          <w:rtl/>
          <w:lang w:bidi="ar-AE"/>
        </w:rPr>
      </w:pPr>
      <w:r>
        <w:rPr>
          <w:rFonts w:cs="Al-Mujahed Free" w:hint="cs"/>
          <w:noProof/>
          <w:color w:val="00B050"/>
          <w:sz w:val="44"/>
          <w:szCs w:val="44"/>
          <w:rtl/>
          <w:lang w:eastAsia="en-GB"/>
        </w:rPr>
        <w:drawing>
          <wp:anchor distT="0" distB="0" distL="114300" distR="114300" simplePos="0" relativeHeight="251658240" behindDoc="0" locked="0" layoutInCell="1" allowOverlap="1">
            <wp:simplePos x="0" y="0"/>
            <wp:positionH relativeFrom="column">
              <wp:posOffset>1965960</wp:posOffset>
            </wp:positionH>
            <wp:positionV relativeFrom="paragraph">
              <wp:posOffset>-350520</wp:posOffset>
            </wp:positionV>
            <wp:extent cx="5120640" cy="4114800"/>
            <wp:effectExtent l="0" t="476250" r="0" b="476250"/>
            <wp:wrapNone/>
            <wp:docPr id="3" name="Picture 2" descr="just my type paper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st my type paper 08.jpg"/>
                    <pic:cNvPicPr/>
                  </pic:nvPicPr>
                  <pic:blipFill>
                    <a:blip r:embed="rId8" cstate="print"/>
                    <a:stretch>
                      <a:fillRect/>
                    </a:stretch>
                  </pic:blipFill>
                  <pic:spPr>
                    <a:xfrm rot="5400000" flipH="1">
                      <a:off x="0" y="0"/>
                      <a:ext cx="5120640" cy="4114800"/>
                    </a:xfrm>
                    <a:prstGeom prst="rect">
                      <a:avLst/>
                    </a:prstGeom>
                  </pic:spPr>
                </pic:pic>
              </a:graphicData>
            </a:graphic>
          </wp:anchor>
        </w:drawing>
      </w:r>
    </w:p>
    <w:p w:rsidR="00A941C2" w:rsidRDefault="00A941C2" w:rsidP="002447CF">
      <w:pPr>
        <w:jc w:val="center"/>
        <w:rPr>
          <w:rFonts w:cs="Al-Mujahed Free"/>
          <w:color w:val="00B050"/>
          <w:sz w:val="44"/>
          <w:szCs w:val="44"/>
          <w:rtl/>
          <w:lang w:bidi="ar-AE"/>
        </w:rPr>
      </w:pPr>
    </w:p>
    <w:p w:rsidR="00AC5A82" w:rsidRPr="00A941C2" w:rsidRDefault="00A941C2" w:rsidP="002447CF">
      <w:pPr>
        <w:jc w:val="center"/>
        <w:rPr>
          <w:rFonts w:cs="Al-Mujahed Free"/>
          <w:color w:val="00B050"/>
          <w:sz w:val="44"/>
          <w:szCs w:val="44"/>
          <w:rtl/>
          <w:lang w:bidi="ar-AE"/>
        </w:rPr>
      </w:pPr>
      <w:r>
        <w:rPr>
          <w:rFonts w:cs="Al-Mujahed Free" w:hint="cs"/>
          <w:color w:val="00B050"/>
          <w:sz w:val="44"/>
          <w:szCs w:val="44"/>
          <w:rtl/>
          <w:lang w:bidi="ar-AE"/>
        </w:rPr>
        <w:t xml:space="preserve">            </w:t>
      </w:r>
      <w:r w:rsidR="00AC5A82" w:rsidRPr="00A941C2">
        <w:rPr>
          <w:rFonts w:cs="Al-Mujahed Free" w:hint="cs"/>
          <w:color w:val="00B050"/>
          <w:sz w:val="44"/>
          <w:szCs w:val="44"/>
          <w:rtl/>
          <w:lang w:bidi="ar-AE"/>
        </w:rPr>
        <w:t>بسم الله الرحمن الرحيم</w:t>
      </w:r>
    </w:p>
    <w:p w:rsidR="00A941C2" w:rsidRPr="002447CF" w:rsidRDefault="00A941C2" w:rsidP="002447CF">
      <w:pPr>
        <w:jc w:val="center"/>
        <w:rPr>
          <w:rFonts w:cs="Al-Mujahed Free"/>
          <w:sz w:val="44"/>
          <w:szCs w:val="44"/>
          <w:rtl/>
          <w:lang w:bidi="ar-AE"/>
        </w:rPr>
      </w:pPr>
    </w:p>
    <w:p w:rsidR="00AC5A82" w:rsidRPr="007E7E0D" w:rsidRDefault="00CF2FC6" w:rsidP="002447CF">
      <w:pPr>
        <w:jc w:val="center"/>
        <w:rPr>
          <w:rFonts w:cs="Al-Mujahed Free"/>
          <w:color w:val="B2A1C7" w:themeColor="accent4" w:themeTint="99"/>
          <w:sz w:val="44"/>
          <w:szCs w:val="44"/>
          <w:lang w:bidi="ar-AE"/>
        </w:rPr>
      </w:pPr>
      <w:r>
        <w:rPr>
          <w:rFonts w:cs="Al-Mujahed Free" w:hint="cs"/>
          <w:noProof/>
          <w:color w:val="B2A1C7" w:themeColor="accent4" w:themeTint="99"/>
          <w:sz w:val="44"/>
          <w:szCs w:val="44"/>
          <w:rtl/>
          <w:lang w:eastAsia="en-GB"/>
        </w:rPr>
        <w:drawing>
          <wp:anchor distT="0" distB="0" distL="114300" distR="114300" simplePos="0" relativeHeight="251660288" behindDoc="0" locked="0" layoutInCell="1" allowOverlap="1">
            <wp:simplePos x="0" y="0"/>
            <wp:positionH relativeFrom="column">
              <wp:posOffset>-407145</wp:posOffset>
            </wp:positionH>
            <wp:positionV relativeFrom="paragraph">
              <wp:posOffset>274145</wp:posOffset>
            </wp:positionV>
            <wp:extent cx="1850621" cy="1367386"/>
            <wp:effectExtent l="171450" t="247650" r="168679" b="804314"/>
            <wp:wrapNone/>
            <wp:docPr id="5" name="Picture 4" descr="http://t1.gstatic.com/images?q=tbn:ANd9GcSb7arIVKq9sTpX8uP-IzZraVAAc7jd1-R0M4M3vjsKP220Zl5I">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1.gstatic.com/images?q=tbn:ANd9GcSb7arIVKq9sTpX8uP-IzZraVAAc7jd1-R0M4M3vjsKP220Zl5I">
                      <a:hlinkClick r:id="rId9"/>
                    </pic:cNvPr>
                    <pic:cNvPicPr>
                      <a:picLocks noChangeAspect="1" noChangeArrowheads="1"/>
                    </pic:cNvPicPr>
                  </pic:nvPicPr>
                  <pic:blipFill>
                    <a:blip r:embed="rId10" cstate="print"/>
                    <a:srcRect/>
                    <a:stretch>
                      <a:fillRect/>
                    </a:stretch>
                  </pic:blipFill>
                  <pic:spPr bwMode="auto">
                    <a:xfrm rot="20332380">
                      <a:off x="0" y="0"/>
                      <a:ext cx="1850621" cy="136738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AC5A82" w:rsidRPr="007E7E0D">
        <w:rPr>
          <w:rFonts w:cs="Al-Mujahed Free" w:hint="cs"/>
          <w:color w:val="B2A1C7" w:themeColor="accent4" w:themeTint="99"/>
          <w:sz w:val="44"/>
          <w:szCs w:val="44"/>
          <w:rtl/>
          <w:lang w:bidi="ar-AE"/>
        </w:rPr>
        <w:t>تقرير بعنون :</w:t>
      </w:r>
    </w:p>
    <w:p w:rsidR="002447CF" w:rsidRPr="002447CF" w:rsidRDefault="002447CF" w:rsidP="002447CF">
      <w:pPr>
        <w:jc w:val="center"/>
        <w:rPr>
          <w:rFonts w:cs="Al-Mujahed Free"/>
          <w:sz w:val="44"/>
          <w:szCs w:val="44"/>
          <w:rtl/>
          <w:lang w:bidi="ar-AE"/>
        </w:rPr>
      </w:pPr>
    </w:p>
    <w:p w:rsidR="002B2692" w:rsidRPr="007E7E0D" w:rsidRDefault="00530BF2" w:rsidP="002447CF">
      <w:pPr>
        <w:jc w:val="center"/>
        <w:rPr>
          <w:rFonts w:cs="Al-Mujahed Free"/>
          <w:color w:val="FF0066"/>
          <w:sz w:val="96"/>
          <w:szCs w:val="96"/>
          <w:rtl/>
          <w:lang w:bidi="ar-AE"/>
        </w:rPr>
      </w:pPr>
      <w:r w:rsidRPr="007E7E0D">
        <w:rPr>
          <w:rFonts w:cs="Al-Mujahed Free" w:hint="cs"/>
          <w:color w:val="FF0066"/>
          <w:sz w:val="96"/>
          <w:szCs w:val="96"/>
          <w:rtl/>
          <w:lang w:bidi="ar-AE"/>
        </w:rPr>
        <w:t>العقود في الإسلام..</w:t>
      </w:r>
      <w:r w:rsidR="007E7E0D" w:rsidRPr="007E7E0D">
        <w:rPr>
          <w:rFonts w:ascii="Arial" w:hAnsi="Arial" w:cs="Arial"/>
          <w:sz w:val="20"/>
          <w:szCs w:val="20"/>
          <w:rtl/>
        </w:rPr>
        <w:t xml:space="preserve"> </w:t>
      </w:r>
    </w:p>
    <w:p w:rsidR="00A941C2" w:rsidRDefault="00A941C2" w:rsidP="002447CF">
      <w:pPr>
        <w:jc w:val="center"/>
        <w:rPr>
          <w:rFonts w:ascii="MS Reference Sans Serif" w:hAnsi="MS Reference Sans Serif" w:cs="Al-Mujahed Free"/>
          <w:sz w:val="44"/>
          <w:szCs w:val="44"/>
          <w:lang w:bidi="ar-AE"/>
        </w:rPr>
      </w:pPr>
    </w:p>
    <w:p w:rsidR="002447CF" w:rsidRPr="002447CF" w:rsidRDefault="002447CF" w:rsidP="002447CF">
      <w:pPr>
        <w:jc w:val="center"/>
        <w:rPr>
          <w:rFonts w:ascii="MS Reference Sans Serif" w:hAnsi="MS Reference Sans Serif" w:cs="Al-Mujahed Free"/>
          <w:sz w:val="44"/>
          <w:szCs w:val="44"/>
          <w:rtl/>
          <w:lang w:bidi="ar-AE"/>
        </w:rPr>
      </w:pPr>
    </w:p>
    <w:p w:rsidR="00AC5A82" w:rsidRPr="002447CF" w:rsidRDefault="00CF2FC6" w:rsidP="00E67B71">
      <w:pPr>
        <w:jc w:val="center"/>
        <w:rPr>
          <w:rFonts w:ascii="MT Extra" w:hAnsi="MT Extra" w:cs="Al-Mujahed Free"/>
          <w:sz w:val="34"/>
          <w:szCs w:val="44"/>
          <w:rtl/>
          <w:lang w:bidi="ar-AE"/>
        </w:rPr>
      </w:pPr>
      <w:r>
        <w:rPr>
          <w:rFonts w:cs="Al-Mujahed Free" w:hint="cs"/>
          <w:noProof/>
          <w:color w:val="00B050"/>
          <w:sz w:val="44"/>
          <w:szCs w:val="44"/>
          <w:rtl/>
          <w:lang w:eastAsia="en-GB"/>
        </w:rPr>
        <w:drawing>
          <wp:anchor distT="0" distB="0" distL="114300" distR="114300" simplePos="0" relativeHeight="251659264" behindDoc="0" locked="0" layoutInCell="1" allowOverlap="1">
            <wp:simplePos x="0" y="0"/>
            <wp:positionH relativeFrom="column">
              <wp:posOffset>4693227</wp:posOffset>
            </wp:positionH>
            <wp:positionV relativeFrom="paragraph">
              <wp:posOffset>464821</wp:posOffset>
            </wp:positionV>
            <wp:extent cx="1412009" cy="2023514"/>
            <wp:effectExtent l="38100" t="0" r="16741" b="586336"/>
            <wp:wrapNone/>
            <wp:docPr id="4" name="il_fi" descr="http://www.irtipms.org/PubImages/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irtipms.org/PubImages/152.jpg"/>
                    <pic:cNvPicPr>
                      <a:picLocks noChangeAspect="1" noChangeArrowheads="1"/>
                    </pic:cNvPicPr>
                  </pic:nvPicPr>
                  <pic:blipFill>
                    <a:blip r:embed="rId11" cstate="print"/>
                    <a:srcRect/>
                    <a:stretch>
                      <a:fillRect/>
                    </a:stretch>
                  </pic:blipFill>
                  <pic:spPr bwMode="auto">
                    <a:xfrm>
                      <a:off x="0" y="0"/>
                      <a:ext cx="1412009" cy="202351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E67B71">
        <w:rPr>
          <w:rFonts w:cs="Al-Mujahed Free" w:hint="cs"/>
          <w:color w:val="00B050"/>
          <w:sz w:val="44"/>
          <w:szCs w:val="44"/>
          <w:rtl/>
          <w:lang w:bidi="ar-AE"/>
        </w:rPr>
        <w:t>عمل الطالب</w:t>
      </w:r>
      <w:r w:rsidR="00AC5A82" w:rsidRPr="00A941C2">
        <w:rPr>
          <w:rFonts w:cs="Al-Mujahed Free" w:hint="cs"/>
          <w:color w:val="00B050"/>
          <w:sz w:val="44"/>
          <w:szCs w:val="44"/>
          <w:rtl/>
          <w:lang w:bidi="ar-AE"/>
        </w:rPr>
        <w:t xml:space="preserve"> :</w:t>
      </w:r>
      <w:r w:rsidR="00AC5A82" w:rsidRPr="002447CF">
        <w:rPr>
          <w:rFonts w:cs="Al-Mujahed Free" w:hint="cs"/>
          <w:sz w:val="44"/>
          <w:szCs w:val="44"/>
          <w:rtl/>
          <w:lang w:bidi="ar-AE"/>
        </w:rPr>
        <w:t xml:space="preserve"> </w:t>
      </w:r>
    </w:p>
    <w:p w:rsidR="00AC5A82" w:rsidRPr="00A941C2" w:rsidRDefault="00AC5A82" w:rsidP="00E67B71">
      <w:pPr>
        <w:jc w:val="center"/>
        <w:rPr>
          <w:rFonts w:cs="Al-Mujahed Free"/>
          <w:color w:val="00B050"/>
          <w:sz w:val="44"/>
          <w:szCs w:val="44"/>
          <w:rtl/>
          <w:lang w:bidi="ar-AE"/>
        </w:rPr>
      </w:pPr>
      <w:r w:rsidRPr="00A941C2">
        <w:rPr>
          <w:rFonts w:cs="Al-Mujahed Free" w:hint="cs"/>
          <w:color w:val="00B050"/>
          <w:sz w:val="44"/>
          <w:szCs w:val="44"/>
          <w:rtl/>
          <w:lang w:bidi="ar-AE"/>
        </w:rPr>
        <w:t>الصف</w:t>
      </w:r>
      <w:r w:rsidRPr="002447CF">
        <w:rPr>
          <w:rFonts w:cs="Al-Mujahed Free" w:hint="cs"/>
          <w:sz w:val="44"/>
          <w:szCs w:val="44"/>
          <w:rtl/>
          <w:lang w:bidi="ar-AE"/>
        </w:rPr>
        <w:t xml:space="preserve"> </w:t>
      </w:r>
      <w:r w:rsidRPr="007E7E0D">
        <w:rPr>
          <w:rFonts w:cs="Al-Mujahed Free" w:hint="cs"/>
          <w:color w:val="9C5BCD"/>
          <w:sz w:val="44"/>
          <w:szCs w:val="44"/>
          <w:rtl/>
          <w:lang w:bidi="ar-AE"/>
        </w:rPr>
        <w:t>:11ع -</w:t>
      </w:r>
    </w:p>
    <w:p w:rsidR="00530BF2" w:rsidRPr="002447CF" w:rsidRDefault="00E67B71" w:rsidP="00E67B71">
      <w:pPr>
        <w:jc w:val="center"/>
        <w:rPr>
          <w:rFonts w:cs="Al-Mujahed Free"/>
          <w:sz w:val="44"/>
          <w:szCs w:val="44"/>
          <w:rtl/>
          <w:lang w:bidi="ar-AE"/>
        </w:rPr>
      </w:pPr>
      <w:r>
        <w:rPr>
          <w:rFonts w:cs="Al-Mujahed Free" w:hint="cs"/>
          <w:color w:val="00B050"/>
          <w:sz w:val="44"/>
          <w:szCs w:val="44"/>
          <w:rtl/>
          <w:lang w:bidi="ar-AE"/>
        </w:rPr>
        <w:t>مقدم للمعلم الفاضل</w:t>
      </w:r>
      <w:r w:rsidR="00AC5A82" w:rsidRPr="00A941C2">
        <w:rPr>
          <w:rFonts w:cs="Al-Mujahed Free" w:hint="cs"/>
          <w:color w:val="00B050"/>
          <w:sz w:val="44"/>
          <w:szCs w:val="44"/>
          <w:rtl/>
          <w:lang w:bidi="ar-AE"/>
        </w:rPr>
        <w:t xml:space="preserve"> : </w:t>
      </w:r>
      <w:r w:rsidR="00530BF2" w:rsidRPr="002447CF">
        <w:rPr>
          <w:rFonts w:cs="Al-Mujahed Free"/>
          <w:sz w:val="44"/>
          <w:szCs w:val="44"/>
          <w:rtl/>
          <w:lang w:bidi="ar-AE"/>
        </w:rPr>
        <w:br/>
      </w:r>
    </w:p>
    <w:p w:rsidR="00CD7DE6" w:rsidRDefault="00CD7DE6" w:rsidP="00530BF2">
      <w:pPr>
        <w:jc w:val="right"/>
        <w:rPr>
          <w:rFonts w:cs="Al-Mujahed Free"/>
          <w:sz w:val="24"/>
          <w:szCs w:val="24"/>
          <w:rtl/>
          <w:lang w:bidi="ar-AE"/>
        </w:rPr>
      </w:pPr>
    </w:p>
    <w:p w:rsidR="00505D8F" w:rsidRPr="00CF2FC6" w:rsidRDefault="00505D8F" w:rsidP="00CF2FC6">
      <w:pPr>
        <w:bidi/>
        <w:spacing w:after="0" w:line="240" w:lineRule="auto"/>
        <w:ind w:right="567"/>
        <w:rPr>
          <w:rFonts w:ascii="Tahoma" w:eastAsia="Times New Roman" w:hAnsi="Tahoma" w:cs="Al-Mujahed Free"/>
          <w:color w:val="FF0066"/>
          <w:sz w:val="40"/>
          <w:szCs w:val="40"/>
          <w:rtl/>
          <w:lang w:eastAsia="en-GB"/>
        </w:rPr>
      </w:pPr>
    </w:p>
    <w:p w:rsidR="00505D8F" w:rsidRPr="00CF2FC6" w:rsidRDefault="00505D8F" w:rsidP="00CF2FC6">
      <w:pPr>
        <w:bidi/>
        <w:spacing w:after="0" w:line="240" w:lineRule="auto"/>
        <w:ind w:left="567" w:right="567"/>
        <w:jc w:val="both"/>
        <w:rPr>
          <w:rFonts w:ascii="Tahoma" w:eastAsia="Times New Roman" w:hAnsi="Tahoma" w:cs="Al-Mujahed Free"/>
          <w:color w:val="000066"/>
          <w:sz w:val="44"/>
          <w:szCs w:val="44"/>
          <w:rtl/>
          <w:lang w:eastAsia="en-GB"/>
        </w:rPr>
      </w:pPr>
      <w:r w:rsidRPr="00CF2FC6">
        <w:rPr>
          <w:rFonts w:ascii="Tahoma" w:eastAsia="Times New Roman" w:hAnsi="Tahoma" w:cs="Al-Mujahed Free" w:hint="cs"/>
          <w:color w:val="FF0066"/>
          <w:sz w:val="72"/>
          <w:szCs w:val="72"/>
          <w:rtl/>
          <w:lang w:eastAsia="en-GB"/>
        </w:rPr>
        <w:t>المقـ</w:t>
      </w:r>
      <w:r w:rsidR="00CF2FC6" w:rsidRPr="00CF2FC6">
        <w:rPr>
          <w:rFonts w:ascii="Tahoma" w:eastAsia="Times New Roman" w:hAnsi="Tahoma" w:cs="Al-Mujahed Free" w:hint="cs"/>
          <w:color w:val="FF0066"/>
          <w:sz w:val="72"/>
          <w:szCs w:val="72"/>
          <w:rtl/>
          <w:lang w:eastAsia="en-GB"/>
        </w:rPr>
        <w:t>ـــــــــــــ</w:t>
      </w:r>
      <w:r w:rsidRPr="00CF2FC6">
        <w:rPr>
          <w:rFonts w:ascii="Tahoma" w:eastAsia="Times New Roman" w:hAnsi="Tahoma" w:cs="Al-Mujahed Free" w:hint="cs"/>
          <w:color w:val="FF0066"/>
          <w:sz w:val="72"/>
          <w:szCs w:val="72"/>
          <w:rtl/>
          <w:lang w:eastAsia="en-GB"/>
        </w:rPr>
        <w:t>ــد مة :</w:t>
      </w:r>
    </w:p>
    <w:p w:rsidR="00505D8F" w:rsidRPr="00CF2FC6" w:rsidRDefault="00505D8F" w:rsidP="00505D8F">
      <w:pPr>
        <w:bidi/>
        <w:spacing w:after="0" w:line="240" w:lineRule="auto"/>
        <w:ind w:left="567" w:right="567"/>
        <w:rPr>
          <w:rFonts w:ascii="Tahoma" w:eastAsia="Times New Roman" w:hAnsi="Tahoma" w:cs="Al-Mujahed Free"/>
          <w:color w:val="000066"/>
          <w:sz w:val="44"/>
          <w:szCs w:val="44"/>
          <w:rtl/>
          <w:lang w:eastAsia="en-GB"/>
        </w:rPr>
      </w:pPr>
    </w:p>
    <w:p w:rsidR="00172F60" w:rsidRPr="00CF2FC6" w:rsidRDefault="00172F60" w:rsidP="00172F60">
      <w:pPr>
        <w:bidi/>
        <w:spacing w:after="0" w:line="240" w:lineRule="auto"/>
        <w:ind w:left="567" w:right="567"/>
        <w:rPr>
          <w:rFonts w:ascii="Tahoma" w:eastAsia="Times New Roman" w:hAnsi="Tahoma" w:cs="Al-Mujahed Free"/>
          <w:color w:val="000066"/>
          <w:sz w:val="44"/>
          <w:szCs w:val="44"/>
          <w:rtl/>
          <w:lang w:eastAsia="en-GB"/>
        </w:rPr>
      </w:pPr>
    </w:p>
    <w:p w:rsidR="00172F60" w:rsidRDefault="00172F60" w:rsidP="00172F60">
      <w:pPr>
        <w:jc w:val="right"/>
        <w:rPr>
          <w:rFonts w:ascii="Tahoma" w:hAnsi="Tahoma" w:cs="AGA Furat Regular"/>
          <w:sz w:val="40"/>
          <w:szCs w:val="40"/>
          <w:rtl/>
        </w:rPr>
      </w:pPr>
      <w:r w:rsidRPr="00CF2FC6">
        <w:rPr>
          <w:rFonts w:ascii="Arial" w:hAnsi="Arial" w:cs="AGA Furat Regular"/>
          <w:sz w:val="52"/>
          <w:szCs w:val="52"/>
          <w:rtl/>
        </w:rPr>
        <w:t xml:space="preserve">الحمد لله رب العالمين ، والصلاة والسلام على أفضل خلقه ، محمد أما بعد ، فقد جاء بحثي هذا بعنوان : </w:t>
      </w:r>
      <w:r w:rsidRPr="00CF2FC6">
        <w:rPr>
          <w:rFonts w:ascii="Arial" w:hAnsi="Arial" w:cs="AGA Furat Regular" w:hint="cs"/>
          <w:sz w:val="52"/>
          <w:szCs w:val="52"/>
          <w:rtl/>
        </w:rPr>
        <w:t>العقود في  الإسلام</w:t>
      </w:r>
      <w:r w:rsidRPr="00CF2FC6">
        <w:rPr>
          <w:rFonts w:ascii="Arial" w:hAnsi="Arial" w:cs="AGA Furat Regular"/>
          <w:sz w:val="52"/>
          <w:szCs w:val="52"/>
          <w:rtl/>
        </w:rPr>
        <w:t xml:space="preserve"> ) ، ويكمن السبب الحقيقي وراء اختياري هذا الموضوع هو رغبتي في فهم معنى </w:t>
      </w:r>
      <w:r w:rsidRPr="00CF2FC6">
        <w:rPr>
          <w:rFonts w:ascii="Arial" w:hAnsi="Arial" w:cs="AGA Furat Regular" w:hint="cs"/>
          <w:sz w:val="52"/>
          <w:szCs w:val="52"/>
          <w:rtl/>
        </w:rPr>
        <w:t xml:space="preserve">العقد </w:t>
      </w:r>
      <w:r w:rsidRPr="00CF2FC6">
        <w:rPr>
          <w:rFonts w:ascii="Arial" w:hAnsi="Arial" w:cs="AGA Furat Regular"/>
          <w:sz w:val="52"/>
          <w:szCs w:val="52"/>
          <w:rtl/>
        </w:rPr>
        <w:t xml:space="preserve"> ودورها في حياتنا اليومية ، ورغبتي أيضا في إضافة واستكمال معلومات عن </w:t>
      </w:r>
      <w:r w:rsidRPr="00CF2FC6">
        <w:rPr>
          <w:rFonts w:ascii="Arial" w:hAnsi="Arial" w:cs="AGA Furat Regular" w:hint="cs"/>
          <w:sz w:val="52"/>
          <w:szCs w:val="52"/>
          <w:rtl/>
        </w:rPr>
        <w:t xml:space="preserve">العقود في الإسلام </w:t>
      </w:r>
      <w:r w:rsidRPr="00CF2FC6">
        <w:rPr>
          <w:rFonts w:ascii="Arial" w:hAnsi="Arial" w:cs="AGA Furat Regular"/>
          <w:sz w:val="52"/>
          <w:szCs w:val="52"/>
          <w:rtl/>
        </w:rPr>
        <w:t>، وراجية من الله تعالى أن ينال التقرير هذا إعجاب معلمتنا الفاضلة وكل من يقرأه ..</w:t>
      </w:r>
      <w:r w:rsidRPr="00172F60">
        <w:rPr>
          <w:rFonts w:ascii="Tahoma" w:hAnsi="Tahoma" w:cs="AGA Furat Regular"/>
          <w:sz w:val="40"/>
          <w:szCs w:val="40"/>
          <w:rtl/>
        </w:rPr>
        <w:br/>
      </w:r>
    </w:p>
    <w:p w:rsidR="00172F60" w:rsidRDefault="00172F60" w:rsidP="00172F60">
      <w:pPr>
        <w:jc w:val="right"/>
        <w:rPr>
          <w:rFonts w:ascii="Tahoma" w:hAnsi="Tahoma" w:cs="AGA Furat Regular"/>
          <w:sz w:val="40"/>
          <w:szCs w:val="40"/>
          <w:rtl/>
        </w:rPr>
      </w:pPr>
    </w:p>
    <w:p w:rsidR="00172F60" w:rsidRDefault="00172F60" w:rsidP="00172F60">
      <w:pPr>
        <w:jc w:val="right"/>
        <w:rPr>
          <w:rFonts w:ascii="Tahoma" w:hAnsi="Tahoma" w:cs="AGA Furat Regular"/>
          <w:sz w:val="40"/>
          <w:szCs w:val="40"/>
          <w:rtl/>
        </w:rPr>
      </w:pPr>
    </w:p>
    <w:p w:rsidR="00505D8F" w:rsidRDefault="00505D8F" w:rsidP="00CF2FC6">
      <w:pPr>
        <w:bidi/>
        <w:spacing w:after="0" w:line="240" w:lineRule="auto"/>
        <w:ind w:right="567"/>
        <w:rPr>
          <w:rFonts w:ascii="Tahoma" w:eastAsia="Times New Roman" w:hAnsi="Tahoma" w:cs="Al-Mujahed Free"/>
          <w:color w:val="000066"/>
          <w:sz w:val="24"/>
          <w:szCs w:val="24"/>
          <w:rtl/>
          <w:lang w:eastAsia="en-GB"/>
        </w:rPr>
      </w:pPr>
    </w:p>
    <w:p w:rsidR="00505D8F" w:rsidRDefault="00505D8F" w:rsidP="00505D8F">
      <w:pPr>
        <w:bidi/>
        <w:spacing w:after="0" w:line="240" w:lineRule="auto"/>
        <w:ind w:left="567" w:right="567"/>
        <w:rPr>
          <w:rFonts w:ascii="Tahoma" w:eastAsia="Times New Roman" w:hAnsi="Tahoma" w:cs="Al-Mujahed Free"/>
          <w:color w:val="000066"/>
          <w:sz w:val="24"/>
          <w:szCs w:val="24"/>
          <w:rtl/>
          <w:lang w:eastAsia="en-GB"/>
        </w:rPr>
      </w:pPr>
    </w:p>
    <w:p w:rsidR="00505D8F" w:rsidRPr="00CF2FC6" w:rsidRDefault="00505D8F" w:rsidP="00505D8F">
      <w:pPr>
        <w:bidi/>
        <w:spacing w:after="0" w:line="240" w:lineRule="auto"/>
        <w:ind w:left="567" w:right="567"/>
        <w:rPr>
          <w:rFonts w:ascii="Tahoma" w:eastAsia="Times New Roman" w:hAnsi="Tahoma" w:cs="Al-Mujahed Free"/>
          <w:color w:val="FF0066"/>
          <w:sz w:val="36"/>
          <w:szCs w:val="36"/>
          <w:rtl/>
          <w:lang w:eastAsia="en-GB"/>
        </w:rPr>
      </w:pPr>
    </w:p>
    <w:p w:rsidR="006E4F26" w:rsidRPr="00CF2FC6" w:rsidRDefault="00530BF2" w:rsidP="00035D6F">
      <w:pPr>
        <w:bidi/>
        <w:spacing w:after="0" w:line="240" w:lineRule="auto"/>
        <w:ind w:left="567" w:right="567"/>
        <w:rPr>
          <w:rFonts w:ascii="Tahoma" w:eastAsia="Times New Roman" w:hAnsi="Tahoma" w:cs="AGA Furat Regular"/>
          <w:color w:val="000066"/>
          <w:sz w:val="24"/>
          <w:szCs w:val="24"/>
          <w:rtl/>
          <w:lang w:eastAsia="en-GB"/>
        </w:rPr>
      </w:pPr>
      <w:r w:rsidRPr="00CF2FC6">
        <w:rPr>
          <w:rFonts w:ascii="Tahoma" w:eastAsia="Times New Roman" w:hAnsi="Tahoma" w:cs="Al-Mujahed Free"/>
          <w:color w:val="FF0066"/>
          <w:sz w:val="36"/>
          <w:szCs w:val="36"/>
          <w:rtl/>
          <w:lang w:eastAsia="en-GB"/>
        </w:rPr>
        <w:t>*نشأة العقود:</w:t>
      </w:r>
      <w:r w:rsidRPr="00CF2FC6">
        <w:rPr>
          <w:rFonts w:ascii="Tahoma" w:eastAsia="Times New Roman" w:hAnsi="Tahoma" w:cs="Al-Mujahed Free"/>
          <w:color w:val="FF0066"/>
          <w:sz w:val="24"/>
          <w:szCs w:val="24"/>
          <w:rtl/>
          <w:lang w:eastAsia="en-GB"/>
        </w:rPr>
        <w:br/>
      </w:r>
      <w:r w:rsidRPr="00530BF2">
        <w:rPr>
          <w:rFonts w:ascii="Tahoma" w:eastAsia="Times New Roman" w:hAnsi="Tahoma" w:cs="Al-Mujahed Free"/>
          <w:color w:val="000066"/>
          <w:sz w:val="24"/>
          <w:szCs w:val="24"/>
          <w:rtl/>
          <w:lang w:eastAsia="en-GB"/>
        </w:rPr>
        <w:br/>
      </w:r>
      <w:r w:rsidRPr="00CF2FC6">
        <w:rPr>
          <w:rFonts w:ascii="Tahoma" w:eastAsia="Times New Roman" w:hAnsi="Tahoma" w:cs="AGA Furat Regular"/>
          <w:color w:val="000066"/>
          <w:sz w:val="24"/>
          <w:szCs w:val="24"/>
          <w:rtl/>
          <w:lang w:eastAsia="en-GB"/>
        </w:rPr>
        <w:t>إن العقود لم تظهر إلا بعد الحاجة إليها، فالإنسان في القديم لم يحتج إلى العقود، كون جميع احتياجاته متوفرة أمامه – لقلتها – لا يمنعه منها أحد.</w:t>
      </w:r>
      <w:r w:rsidRPr="00CF2FC6">
        <w:rPr>
          <w:rFonts w:ascii="Tahoma" w:eastAsia="Times New Roman" w:hAnsi="Tahoma" w:cs="AGA Furat Regular"/>
          <w:color w:val="000066"/>
          <w:sz w:val="24"/>
          <w:szCs w:val="24"/>
          <w:rtl/>
          <w:lang w:eastAsia="en-GB"/>
        </w:rPr>
        <w:br/>
        <w:t>وقد كان يقوم شخصياً بإشباع حاجاته عن طريق إنتاج ما يلزمه ويحتاج إليه؛ من الطعام واللباس والسكن.</w:t>
      </w:r>
      <w:r w:rsidRPr="00CF2FC6">
        <w:rPr>
          <w:rFonts w:ascii="Tahoma" w:eastAsia="Times New Roman" w:hAnsi="Tahoma" w:cs="AGA Furat Regular"/>
          <w:color w:val="000066"/>
          <w:sz w:val="24"/>
          <w:szCs w:val="24"/>
          <w:rtl/>
          <w:lang w:eastAsia="en-GB"/>
        </w:rPr>
        <w:br/>
        <w:t>ولما كثر عدد الأفراد، وتزايدت احتياجات الفرد، شعر الإنسان أنه بحاجة إلى مَن يستطيع تلبية رغبته من الاحتياجات التي كثرت وتعددت وتنوعت، ولم يكن بوسعه إشباعها كلها بمفرده؛ إما لعدم قدرته على ذلك، أو لعدم رغبته في إنتاجها بنفسه.</w:t>
      </w:r>
      <w:r w:rsidRPr="00CF2FC6">
        <w:rPr>
          <w:rFonts w:ascii="Tahoma" w:eastAsia="Times New Roman" w:hAnsi="Tahoma" w:cs="AGA Furat Regular"/>
          <w:color w:val="000066"/>
          <w:sz w:val="24"/>
          <w:szCs w:val="24"/>
          <w:rtl/>
          <w:lang w:eastAsia="en-GB"/>
        </w:rPr>
        <w:br/>
        <w:t>فاندمج الفرد في إطار الجماعة الضيقة، وبدأت هذه الجماعة تتقاسم العمل فيما بينها، وصار لكل فرد منها عمل يختص به.</w:t>
      </w:r>
      <w:r w:rsidRPr="00CF2FC6">
        <w:rPr>
          <w:rFonts w:ascii="Tahoma" w:eastAsia="Times New Roman" w:hAnsi="Tahoma" w:cs="AGA Furat Regular"/>
          <w:color w:val="000066"/>
          <w:sz w:val="24"/>
          <w:szCs w:val="24"/>
          <w:rtl/>
          <w:lang w:eastAsia="en-GB"/>
        </w:rPr>
        <w:br/>
        <w:t>وبعد أن تعددت الجماعات، وكثرت الاحتياجات، وتزايدت المنتجات؛ وذلك باستقرار الإنسان وترك حياة التنقل، واشتغاله بالزراعة، حيث ارتبط بالأرض، وانخرط في سلك الجماعة الواسعة، عند ذلك صار الإنسان يفكر في الأخذ والعطاء وتبادل الحاجات</w:t>
      </w:r>
      <w:r w:rsidR="00A42A5A" w:rsidRPr="00CF2FC6">
        <w:rPr>
          <w:rStyle w:val="FootnoteReference"/>
          <w:rFonts w:ascii="Tahoma" w:eastAsia="Times New Roman" w:hAnsi="Tahoma" w:cs="AGA Furat Regular"/>
          <w:color w:val="FF0000"/>
          <w:sz w:val="24"/>
          <w:szCs w:val="24"/>
          <w:rtl/>
          <w:lang w:eastAsia="en-GB"/>
        </w:rPr>
        <w:footnoteReference w:id="1"/>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t>فكان من الضروري التزام كل من الطرفين بتقديم الفائض لديه وأخذ ما يلزمه، هذا الالتزام هو التعاقد بين الطرفين لتنفيذ الإرادة والرغبة في التبادل.</w:t>
      </w:r>
      <w:r w:rsidRPr="00CF2FC6">
        <w:rPr>
          <w:rFonts w:ascii="Tahoma" w:eastAsia="Times New Roman" w:hAnsi="Tahoma" w:cs="AGA Furat Regular"/>
          <w:color w:val="000066"/>
          <w:sz w:val="24"/>
          <w:szCs w:val="24"/>
          <w:rtl/>
          <w:lang w:eastAsia="en-GB"/>
        </w:rPr>
        <w:br/>
        <w:t>وتنوعت صور المبادلات، وهي في الجملة تخضع لنظرية العقد (التي تنظم حركة النشاط الاقتصادي، وتضبط أصول التعامل، وحرية التجارة، وتبادل الأعيان والمنافع)</w:t>
      </w:r>
      <w:r w:rsidR="00CD7DE6" w:rsidRPr="00CF2FC6">
        <w:rPr>
          <w:rStyle w:val="FootnoteReference"/>
          <w:rFonts w:ascii="Tahoma" w:eastAsia="Times New Roman" w:hAnsi="Tahoma" w:cs="AGA Furat Regular"/>
          <w:color w:val="FF0000"/>
          <w:sz w:val="24"/>
          <w:szCs w:val="24"/>
          <w:rtl/>
          <w:lang w:eastAsia="en-GB"/>
        </w:rPr>
        <w:footnoteReference w:id="2"/>
      </w:r>
      <w:r w:rsidR="00CD7DE6" w:rsidRPr="00CF2FC6">
        <w:rPr>
          <w:rFonts w:ascii="Tahoma" w:eastAsia="Times New Roman" w:hAnsi="Tahoma" w:cs="AGA Furat Regular"/>
          <w:color w:val="FF0000"/>
          <w:sz w:val="24"/>
          <w:szCs w:val="24"/>
          <w:rtl/>
          <w:lang w:eastAsia="en-GB"/>
        </w:rPr>
        <w:t xml:space="preserve"> </w:t>
      </w:r>
      <w:r w:rsidRPr="00CF2FC6">
        <w:rPr>
          <w:rFonts w:ascii="Tahoma" w:eastAsia="Times New Roman" w:hAnsi="Tahoma" w:cs="AGA Furat Regular"/>
          <w:color w:val="000066"/>
          <w:sz w:val="24"/>
          <w:szCs w:val="24"/>
          <w:rtl/>
          <w:lang w:eastAsia="en-GB"/>
        </w:rPr>
        <w:t>أي ما يسميه الاقتصاديون السلع والخدمات.</w:t>
      </w:r>
      <w:r w:rsidRPr="00CF2FC6">
        <w:rPr>
          <w:rFonts w:ascii="Tahoma" w:eastAsia="Times New Roman" w:hAnsi="Tahoma" w:cs="AGA Furat Regular"/>
          <w:color w:val="000066"/>
          <w:sz w:val="24"/>
          <w:szCs w:val="24"/>
          <w:rtl/>
          <w:lang w:eastAsia="en-GB"/>
        </w:rPr>
        <w:br/>
        <w:t>(والعقود بند أساسي في جميع الأعمال المالية، ولا سيما الأعمال المصرفية؛ لأنها تحدد الاشتراطات، ومسؤوليات كل طرف من أطراف العملية)</w:t>
      </w:r>
      <w:r w:rsidR="00CD7DE6" w:rsidRPr="00CF2FC6">
        <w:rPr>
          <w:rStyle w:val="FootnoteReference"/>
          <w:rFonts w:ascii="Tahoma" w:eastAsia="Times New Roman" w:hAnsi="Tahoma" w:cs="AGA Furat Regular"/>
          <w:color w:val="FF0000"/>
          <w:sz w:val="24"/>
          <w:szCs w:val="24"/>
          <w:rtl/>
          <w:lang w:eastAsia="en-GB"/>
        </w:rPr>
        <w:footnoteReference w:id="3"/>
      </w:r>
      <w:r w:rsidR="00CD7DE6" w:rsidRPr="00CF2FC6">
        <w:rPr>
          <w:rFonts w:ascii="Tahoma" w:eastAsia="Times New Roman" w:hAnsi="Tahoma" w:cs="AGA Furat Regular"/>
          <w:color w:val="000066"/>
          <w:sz w:val="24"/>
          <w:szCs w:val="24"/>
          <w:rtl/>
          <w:lang w:eastAsia="en-GB"/>
        </w:rPr>
        <w:t xml:space="preserve"> </w:t>
      </w:r>
      <w:r w:rsidRPr="00CF2FC6">
        <w:rPr>
          <w:rFonts w:ascii="Tahoma" w:eastAsia="Times New Roman" w:hAnsi="Tahoma" w:cs="AGA Furat Regular"/>
          <w:color w:val="000066"/>
          <w:sz w:val="24"/>
          <w:szCs w:val="24"/>
          <w:rtl/>
          <w:lang w:eastAsia="en-GB"/>
        </w:rPr>
        <w:t>، لذا، لا بُدَّ من وقفة مع العقود من حيث: التعريف، والصيغة، والمحل، والأنواع، ولا سيما ما يتصل منها بالعمليات المصرفية.</w:t>
      </w:r>
      <w:r w:rsid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CF2FC6">
        <w:rPr>
          <w:rFonts w:ascii="Tahoma" w:eastAsia="Times New Roman" w:hAnsi="Tahoma" w:cs="Al-Mujahed Free"/>
          <w:color w:val="000066"/>
          <w:sz w:val="24"/>
          <w:szCs w:val="24"/>
          <w:rtl/>
          <w:lang w:eastAsia="en-GB"/>
        </w:rPr>
        <w:br/>
      </w:r>
      <w:r w:rsidRPr="00035D6F">
        <w:rPr>
          <w:rFonts w:ascii="Tahoma" w:eastAsia="Times New Roman" w:hAnsi="Tahoma" w:cs="Al-Mujahed Free"/>
          <w:color w:val="FF0066"/>
          <w:sz w:val="28"/>
          <w:szCs w:val="28"/>
          <w:rtl/>
          <w:lang w:eastAsia="en-GB"/>
        </w:rPr>
        <w:t>*موقف التشريع الإسلامي من العقود:</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قبل الحديث عن التعريف والصيغة والأنواع، أعرض لموقف القرآن والسنة من العقود عموماً.</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لقد اشتمل القرآن الكريم على آيات تثبت مشروعية العقد، وتأمر بالوفاء به والالتزام بما اتفق عليه العاقدان.</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قال الله تعالى: ( يَا أَيُّهَا الَّذِينَ آمَنُوا أَوْفُوا بِالْعُقُودِ)</w:t>
      </w:r>
      <w:r w:rsidR="00CD7DE6" w:rsidRPr="00CF2FC6">
        <w:rPr>
          <w:rStyle w:val="FootnoteReference"/>
          <w:rFonts w:ascii="Tahoma" w:eastAsia="Times New Roman" w:hAnsi="Tahoma" w:cs="AGA Furat Regular"/>
          <w:color w:val="FF0000"/>
          <w:sz w:val="24"/>
          <w:szCs w:val="24"/>
          <w:rtl/>
          <w:lang w:eastAsia="en-GB"/>
        </w:rPr>
        <w:footnoteReference w:id="4"/>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lastRenderedPageBreak/>
        <w:br/>
        <w:t>- وقال الله عزَّ وجلَّ: (وَأَوْفُوا بِالْعَهْدِ إِنَّ الْعَهْدَ كَانَ مَسْئُولًا )</w:t>
      </w:r>
      <w:r w:rsidR="004E08E7" w:rsidRPr="00CF2FC6">
        <w:rPr>
          <w:rStyle w:val="FootnoteReference"/>
          <w:rFonts w:ascii="Tahoma" w:eastAsia="Times New Roman" w:hAnsi="Tahoma" w:cs="AGA Furat Regular"/>
          <w:color w:val="FF0000"/>
          <w:sz w:val="24"/>
          <w:szCs w:val="24"/>
          <w:rtl/>
          <w:lang w:eastAsia="en-GB"/>
        </w:rPr>
        <w:footnoteReference w:id="5"/>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وأضاف اللهُ تبارك وتعالى العهدَ إلى نفسه دلالة على أهمية الوفاء به</w:t>
      </w:r>
      <w:r w:rsidR="0016024E" w:rsidRPr="00CF2FC6">
        <w:rPr>
          <w:rFonts w:ascii="Tahoma" w:eastAsia="Times New Roman" w:hAnsi="Tahoma" w:cs="AGA Furat Regular" w:hint="cs"/>
          <w:color w:val="000066"/>
          <w:sz w:val="24"/>
          <w:szCs w:val="24"/>
          <w:rtl/>
          <w:lang w:eastAsia="en-GB"/>
        </w:rPr>
        <w:t xml:space="preserve"> </w:t>
      </w:r>
      <w:r w:rsidR="0016024E" w:rsidRPr="00CF2FC6">
        <w:rPr>
          <w:rStyle w:val="FootnoteReference"/>
          <w:rFonts w:ascii="Tahoma" w:eastAsia="Times New Roman" w:hAnsi="Tahoma" w:cs="AGA Furat Regular"/>
          <w:color w:val="FF0000"/>
          <w:sz w:val="24"/>
          <w:szCs w:val="24"/>
          <w:rtl/>
          <w:lang w:eastAsia="en-GB"/>
        </w:rPr>
        <w:footnoteReference w:id="6"/>
      </w:r>
      <w:r w:rsidRPr="00CF2FC6">
        <w:rPr>
          <w:rFonts w:ascii="Tahoma" w:eastAsia="Times New Roman" w:hAnsi="Tahoma" w:cs="AGA Furat Regular"/>
          <w:color w:val="000066"/>
          <w:sz w:val="24"/>
          <w:szCs w:val="24"/>
          <w:rtl/>
          <w:lang w:eastAsia="en-GB"/>
        </w:rPr>
        <w:t>، قال عزَّ وجلَّ: (وَأَوْفُوا بِعَهْدِ اللَّهِ إِذَا عَاهَدْتُمْ وَلَا تَنقُضُوا الْأَيْمَانَ بَعْدَ تَوْكِيدِهَا وَقَدْ جَعَلْتُمْ اللَّهَ عَلَيْكُمْ كَفِيلًا )</w:t>
      </w:r>
      <w:r w:rsidR="0016024E" w:rsidRPr="00CF2FC6">
        <w:rPr>
          <w:rStyle w:val="FootnoteReference"/>
          <w:rFonts w:ascii="Tahoma" w:eastAsia="Times New Roman" w:hAnsi="Tahoma" w:cs="AGA Furat Regular"/>
          <w:color w:val="FF0000"/>
          <w:sz w:val="24"/>
          <w:szCs w:val="24"/>
          <w:rtl/>
          <w:lang w:eastAsia="en-GB"/>
        </w:rPr>
        <w:footnoteReference w:id="7"/>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والعقود أمانة، والأمانة واجبة الأداء، يحرم جحودها وإنكارها، قال الله تعالى: (إِنَّ اللَّهَ يَأْمُرُكُمْ أَنْ تُؤَدُّوا الْأَمَانَاتِ إِلَى أَهْلِهَا)</w:t>
      </w:r>
      <w:r w:rsidR="0016024E" w:rsidRPr="00CF2FC6">
        <w:rPr>
          <w:rStyle w:val="FootnoteReference"/>
          <w:rFonts w:ascii="Tahoma" w:eastAsia="Times New Roman" w:hAnsi="Tahoma" w:cs="AGA Furat Regular"/>
          <w:color w:val="FF0000"/>
          <w:sz w:val="24"/>
          <w:szCs w:val="24"/>
          <w:rtl/>
          <w:lang w:eastAsia="en-GB"/>
        </w:rPr>
        <w:footnoteReference w:id="8"/>
      </w:r>
      <w:r w:rsidRPr="00CF2FC6">
        <w:rPr>
          <w:rFonts w:ascii="Tahoma" w:eastAsia="Times New Roman" w:hAnsi="Tahoma" w:cs="AGA Furat Regular"/>
          <w:color w:val="FF0000"/>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والعقد ارتباط، وإذا التزام الإنسان بالقول فلا بُدَّ من الالتزام بالعمل والتنفيذ، وإلا وقع في غضب الله ومقته.</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قال عزَّ وجلَّ: (يَاأَيُّهَا الَّذِينَ آَمَنُوا لِمَ تَقُولُونَ مَا لَا تَفْعَلُونَ(2)كَبُرَ مَقْتًا عِنْدَ اللَّهِ أَنْ تَقُولُوا مَا لَا تَفْعَلُونَ)</w:t>
      </w:r>
      <w:r w:rsidR="0016024E" w:rsidRPr="00CF2FC6">
        <w:rPr>
          <w:rStyle w:val="FootnoteReference"/>
          <w:rFonts w:ascii="Tahoma" w:eastAsia="Times New Roman" w:hAnsi="Tahoma" w:cs="AGA Furat Regular"/>
          <w:color w:val="FF0000"/>
          <w:sz w:val="24"/>
          <w:szCs w:val="24"/>
          <w:rtl/>
          <w:lang w:eastAsia="en-GB"/>
        </w:rPr>
        <w:footnoteReference w:id="9"/>
      </w:r>
      <w:r w:rsidRPr="00CF2FC6">
        <w:rPr>
          <w:rFonts w:ascii="Tahoma" w:eastAsia="Times New Roman" w:hAnsi="Tahoma" w:cs="AGA Furat Regular"/>
          <w:color w:val="FF0000"/>
          <w:sz w:val="24"/>
          <w:szCs w:val="24"/>
          <w:rtl/>
          <w:lang w:eastAsia="en-GB"/>
        </w:rPr>
        <w:t>.</w:t>
      </w:r>
      <w:r w:rsid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وفي أحاديث رسول الله  صلى الله عليه وسلم توجيهٌ للالتزام بالعقود، والحرص على تنفيذها، إذ إنَّ خُلْفَ الوعدِ من النفاق.</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قال رسول الله  صلى الله عليه وسلم : " آيَةُ الْمُنَافِقِ ثَلَاثٌ إِذَا حَدَّثَ كَذَبَ وَإِذَا وَعَدَ أَخْلَفَ وَإِذَا اؤْتُمِنَ خَانَ"</w:t>
      </w:r>
      <w:r w:rsidR="004552B1" w:rsidRPr="00CF2FC6">
        <w:rPr>
          <w:rStyle w:val="FootnoteReference"/>
          <w:rFonts w:ascii="Tahoma" w:eastAsia="Times New Roman" w:hAnsi="Tahoma" w:cs="AGA Furat Regular"/>
          <w:color w:val="FF0000"/>
          <w:sz w:val="24"/>
          <w:szCs w:val="24"/>
          <w:rtl/>
          <w:lang w:eastAsia="en-GB"/>
        </w:rPr>
        <w:footnoteReference w:id="10"/>
      </w:r>
      <w:r w:rsidR="004552B1" w:rsidRPr="00CF2FC6">
        <w:rPr>
          <w:rFonts w:ascii="Tahoma" w:eastAsia="Times New Roman" w:hAnsi="Tahoma" w:cs="AGA Furat Regular" w:hint="cs"/>
          <w:color w:val="FF0000"/>
          <w:sz w:val="24"/>
          <w:szCs w:val="24"/>
          <w:rtl/>
          <w:lang w:eastAsia="en-GB"/>
        </w:rPr>
        <w:t>.</w:t>
      </w:r>
      <w:r w:rsidRPr="00CF2FC6">
        <w:rPr>
          <w:rFonts w:ascii="Tahoma" w:eastAsia="Times New Roman" w:hAnsi="Tahoma" w:cs="AGA Furat Regular"/>
          <w:color w:val="000066"/>
          <w:sz w:val="24"/>
          <w:szCs w:val="24"/>
          <w:rtl/>
          <w:lang w:eastAsia="en-GB"/>
        </w:rPr>
        <w:br/>
        <w:t>- وقال رسول الله  صلى الله عليه وسلم : " لَا إِيمَانَ لِمَنْ لَا أَمَانَةَ لَهُ وَلَا دِينَ لِمَنْ لَا عَهْدَ لَهُ"</w:t>
      </w:r>
      <w:r w:rsidR="004552B1" w:rsidRPr="00CF2FC6">
        <w:rPr>
          <w:rStyle w:val="FootnoteReference"/>
          <w:rFonts w:ascii="Tahoma" w:eastAsia="Times New Roman" w:hAnsi="Tahoma" w:cs="AGA Furat Regular"/>
          <w:color w:val="FF0000"/>
          <w:sz w:val="24"/>
          <w:szCs w:val="24"/>
          <w:rtl/>
          <w:lang w:eastAsia="en-GB"/>
        </w:rPr>
        <w:footnoteReference w:id="11"/>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br/>
        <w:t>* تعريف العقد:</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العقد في اللغة</w:t>
      </w:r>
      <w:r w:rsidR="00B93D75" w:rsidRPr="00CF2FC6">
        <w:rPr>
          <w:rFonts w:ascii="Tahoma" w:eastAsia="Times New Roman" w:hAnsi="Tahoma" w:cs="AGA Furat Regular" w:hint="cs"/>
          <w:color w:val="000066"/>
          <w:sz w:val="24"/>
          <w:szCs w:val="24"/>
          <w:rtl/>
          <w:lang w:eastAsia="en-GB"/>
        </w:rPr>
        <w:t xml:space="preserve"> </w:t>
      </w:r>
      <w:r w:rsidR="00B93D75" w:rsidRPr="00CF2FC6">
        <w:rPr>
          <w:rStyle w:val="FootnoteReference"/>
          <w:rFonts w:ascii="Tahoma" w:eastAsia="Times New Roman" w:hAnsi="Tahoma" w:cs="AGA Furat Regular"/>
          <w:color w:val="000066"/>
          <w:sz w:val="24"/>
          <w:szCs w:val="24"/>
          <w:rtl/>
          <w:lang w:eastAsia="en-GB"/>
        </w:rPr>
        <w:footnoteReference w:id="12"/>
      </w:r>
      <w:r w:rsidRPr="00CF2FC6">
        <w:rPr>
          <w:rFonts w:ascii="Tahoma" w:eastAsia="Times New Roman" w:hAnsi="Tahoma" w:cs="AGA Furat Regular"/>
          <w:color w:val="000066"/>
          <w:sz w:val="24"/>
          <w:szCs w:val="24"/>
          <w:rtl/>
          <w:lang w:eastAsia="en-GB"/>
        </w:rPr>
        <w:t>: نقيض الحَلّ، ويأتي بمعنى: العهد، ويأتي بمعنى الربط بين أطراف الشيء، وهو: اتفاق بين طرفين يلتزمُ بمقتضاه كلٌّ منهما تنفيذ ما اتفقا عليه، ويدخل المعنى اللغوي في المعنى الاصطلاحي عند الفقهاء لكلمة العقد.</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وللعقد عند الفقهاء معنيان</w:t>
      </w:r>
      <w:r w:rsidR="00B93D75" w:rsidRPr="00CF2FC6">
        <w:rPr>
          <w:rStyle w:val="FootnoteReference"/>
          <w:rFonts w:ascii="Tahoma" w:eastAsia="Times New Roman" w:hAnsi="Tahoma" w:cs="AGA Furat Regular"/>
          <w:color w:val="000066"/>
          <w:sz w:val="24"/>
          <w:szCs w:val="24"/>
          <w:rtl/>
          <w:lang w:eastAsia="en-GB"/>
        </w:rPr>
        <w:footnoteReference w:id="13"/>
      </w:r>
      <w:r w:rsidRPr="00CF2FC6">
        <w:rPr>
          <w:rFonts w:ascii="Tahoma" w:eastAsia="Times New Roman" w:hAnsi="Tahoma" w:cs="AGA Furat Regular"/>
          <w:color w:val="000066"/>
          <w:sz w:val="24"/>
          <w:szCs w:val="24"/>
          <w:rtl/>
          <w:lang w:eastAsia="en-GB"/>
        </w:rPr>
        <w:t>: عام وخاص.</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lastRenderedPageBreak/>
        <w:t>أما المعنى العام فهو: كل ما عزم المرء على فعله، سواء صدر بإرادة منفردة، أم احتاج إلى إرادتين، فهو بهذا المعنى يتناول الالتزام مطلقاً.</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أما المعنى الخاص، فهو: (ارتباط إيجاب بقبول على وجه مشروع يثبت أثره في محله)</w:t>
      </w:r>
      <w:r w:rsidR="00B93D75" w:rsidRPr="00CF2FC6">
        <w:rPr>
          <w:rStyle w:val="FootnoteReference"/>
          <w:rFonts w:ascii="Tahoma" w:eastAsia="Times New Roman" w:hAnsi="Tahoma" w:cs="AGA Furat Regular"/>
          <w:color w:val="000066"/>
          <w:sz w:val="24"/>
          <w:szCs w:val="24"/>
          <w:rtl/>
          <w:lang w:eastAsia="en-GB"/>
        </w:rPr>
        <w:footnoteReference w:id="14"/>
      </w:r>
      <w:r w:rsidR="00B93D75" w:rsidRPr="00CF2FC6">
        <w:rPr>
          <w:rFonts w:ascii="Tahoma" w:eastAsia="Times New Roman" w:hAnsi="Tahoma" w:cs="AGA Furat Regular"/>
          <w:color w:val="000066"/>
          <w:sz w:val="24"/>
          <w:szCs w:val="24"/>
          <w:rtl/>
          <w:lang w:eastAsia="en-GB"/>
        </w:rPr>
        <w:t xml:space="preserve"> </w:t>
      </w:r>
      <w:r w:rsidRPr="00CF2FC6">
        <w:rPr>
          <w:rFonts w:ascii="Tahoma" w:eastAsia="Times New Roman" w:hAnsi="Tahoma" w:cs="AGA Furat Regular"/>
          <w:color w:val="000066"/>
          <w:sz w:val="24"/>
          <w:szCs w:val="24"/>
          <w:rtl/>
          <w:lang w:eastAsia="en-GB"/>
        </w:rPr>
        <w:t>، أو هو: (تعلُّق كلام أحد العاقدين بالآخر شرعاً على وجه يَظهر أثرُه في المحل)</w:t>
      </w:r>
      <w:r w:rsidR="00B93D75" w:rsidRPr="00CF2FC6">
        <w:rPr>
          <w:rStyle w:val="FootnoteReference"/>
          <w:rFonts w:ascii="Tahoma" w:eastAsia="Times New Roman" w:hAnsi="Tahoma" w:cs="AGA Furat Regular"/>
          <w:color w:val="000066"/>
          <w:sz w:val="24"/>
          <w:szCs w:val="24"/>
          <w:rtl/>
          <w:lang w:eastAsia="en-GB"/>
        </w:rPr>
        <w:footnoteReference w:id="15"/>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والعقد عند رجال القانون، هو: (توافق إرادتين على إحداث أثر قانوني من إنشاء التزام أو نقله، أو تعديله، أو إنهائه)</w:t>
      </w:r>
      <w:r w:rsidR="00B93D75" w:rsidRPr="00CF2FC6">
        <w:rPr>
          <w:rStyle w:val="FootnoteReference"/>
          <w:rFonts w:ascii="Tahoma" w:eastAsia="Times New Roman" w:hAnsi="Tahoma" w:cs="AGA Furat Regular"/>
          <w:color w:val="000066"/>
          <w:sz w:val="24"/>
          <w:szCs w:val="24"/>
          <w:rtl/>
          <w:lang w:eastAsia="en-GB"/>
        </w:rPr>
        <w:footnoteReference w:id="16"/>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و(يتم العقد بمجرد أن يتبادل الطرفان التعبير عن إرادتين متطابقتين، مع مراعاة ما يقرره القانون فوق ذلك من أوضاع معينة لانعقاد العقد)</w:t>
      </w:r>
      <w:r w:rsidR="00B93D75" w:rsidRPr="00CF2FC6">
        <w:rPr>
          <w:rStyle w:val="FootnoteReference"/>
          <w:rFonts w:ascii="Tahoma" w:eastAsia="Times New Roman" w:hAnsi="Tahoma" w:cs="AGA Furat Regular"/>
          <w:color w:val="000066"/>
          <w:sz w:val="24"/>
          <w:szCs w:val="24"/>
          <w:rtl/>
          <w:lang w:eastAsia="en-GB"/>
        </w:rPr>
        <w:footnoteReference w:id="17"/>
      </w:r>
      <w:r w:rsidRPr="00CF2FC6">
        <w:rPr>
          <w:rFonts w:ascii="Tahoma" w:eastAsia="Times New Roman" w:hAnsi="Tahoma" w:cs="AGA Furat Regular"/>
          <w:color w:val="000066"/>
          <w:sz w:val="24"/>
          <w:szCs w:val="24"/>
          <w:rtl/>
          <w:lang w:eastAsia="en-GB"/>
        </w:rPr>
        <w:t>.</w:t>
      </w:r>
      <w:r w:rsidR="006E4F26"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035D6F">
        <w:rPr>
          <w:rFonts w:ascii="Tahoma" w:eastAsia="Times New Roman" w:hAnsi="Tahoma" w:cs="AGA Furat Regular"/>
          <w:color w:val="FF0066"/>
          <w:sz w:val="24"/>
          <w:szCs w:val="24"/>
          <w:rtl/>
          <w:lang w:eastAsia="en-GB"/>
        </w:rPr>
        <w:t>* والفارق بين التعريفين الفقهي والقانوني</w:t>
      </w:r>
      <w:r w:rsidRPr="00CF2FC6">
        <w:rPr>
          <w:rFonts w:ascii="Tahoma" w:eastAsia="Times New Roman" w:hAnsi="Tahoma" w:cs="AGA Furat Regular"/>
          <w:color w:val="000066"/>
          <w:sz w:val="24"/>
          <w:szCs w:val="24"/>
          <w:rtl/>
          <w:lang w:eastAsia="en-GB"/>
        </w:rPr>
        <w:t>: أن التعريف الفقهي يؤكد على الارتباط الذي يُعْتَدُّ الشارع به وليس مجرد اتفاق الإرادتين، إذ قد يحصل اتفاق بين إرادتين على شئ يحرِّمُه الشارع، وبذلك يكون تعريفُ العقد عند القانونين غيرَ مانع من دخول العقد الباطل فيه</w:t>
      </w:r>
      <w:r w:rsidR="00B93D75" w:rsidRPr="00CF2FC6">
        <w:rPr>
          <w:rStyle w:val="FootnoteReference"/>
          <w:rFonts w:ascii="Tahoma" w:eastAsia="Times New Roman" w:hAnsi="Tahoma" w:cs="AGA Furat Regular"/>
          <w:color w:val="000066"/>
          <w:sz w:val="24"/>
          <w:szCs w:val="24"/>
          <w:rtl/>
          <w:lang w:eastAsia="en-GB"/>
        </w:rPr>
        <w:footnoteReference w:id="18"/>
      </w:r>
      <w:r w:rsidRPr="00CF2FC6">
        <w:rPr>
          <w:rFonts w:ascii="Tahoma" w:eastAsia="Times New Roman" w:hAnsi="Tahoma" w:cs="AGA Furat Regular"/>
          <w:color w:val="000066"/>
          <w:sz w:val="24"/>
          <w:szCs w:val="24"/>
          <w:rtl/>
          <w:lang w:eastAsia="en-GB"/>
        </w:rPr>
        <w:t>.</w:t>
      </w:r>
      <w:r w:rsidR="006E4F26" w:rsidRPr="00CF2FC6">
        <w:rPr>
          <w:rFonts w:ascii="Tahoma" w:eastAsia="Times New Roman" w:hAnsi="Tahoma" w:cs="AGA Furat Regular"/>
          <w:color w:val="000066"/>
          <w:sz w:val="24"/>
          <w:szCs w:val="24"/>
          <w:rtl/>
          <w:lang w:eastAsia="en-GB"/>
        </w:rPr>
        <w:br/>
      </w:r>
    </w:p>
    <w:p w:rsidR="00D73CF7" w:rsidRDefault="00530BF2" w:rsidP="00200E15">
      <w:pPr>
        <w:bidi/>
        <w:spacing w:after="0" w:line="240" w:lineRule="auto"/>
        <w:ind w:left="567" w:right="567"/>
        <w:rPr>
          <w:rFonts w:ascii="Tahoma" w:eastAsia="Times New Roman" w:hAnsi="Tahoma" w:cs="AGA Furat Regular"/>
          <w:color w:val="000066"/>
          <w:sz w:val="24"/>
          <w:szCs w:val="24"/>
          <w:rtl/>
          <w:lang w:eastAsia="en-GB"/>
        </w:rPr>
      </w:pPr>
      <w:r w:rsidRPr="00CF2FC6">
        <w:rPr>
          <w:rFonts w:ascii="Tahoma" w:eastAsia="Times New Roman" w:hAnsi="Tahoma" w:cs="AGA Furat Regular"/>
          <w:color w:val="000066"/>
          <w:sz w:val="24"/>
          <w:szCs w:val="24"/>
          <w:rtl/>
          <w:lang w:eastAsia="en-GB"/>
        </w:rPr>
        <w:t>وهذا ما لا ينبغي الوقوف عنده، إذ لابد أن يكون التعريف جامعاً مانعاً، وهو تعريف الفقهاء للعقد، فالعقد المعتبر في الإسلام هو العقد المشروع الذي ينضم للنظام العام الذي وضعه الشارع ليسير عليه الناس، وما على الأفراد إلا التقيد التام بأحكام الشرع الذي نظّم لهم العقود</w:t>
      </w:r>
      <w:r w:rsidR="00B93D75" w:rsidRPr="00CF2FC6">
        <w:rPr>
          <w:rStyle w:val="FootnoteReference"/>
          <w:rFonts w:ascii="Tahoma" w:eastAsia="Times New Roman" w:hAnsi="Tahoma" w:cs="AGA Furat Regular"/>
          <w:color w:val="000066"/>
          <w:sz w:val="24"/>
          <w:szCs w:val="24"/>
          <w:rtl/>
          <w:lang w:eastAsia="en-GB"/>
        </w:rPr>
        <w:footnoteReference w:id="19"/>
      </w:r>
      <w:r w:rsidRPr="00CF2FC6">
        <w:rPr>
          <w:rFonts w:ascii="Tahoma" w:eastAsia="Times New Roman" w:hAnsi="Tahoma" w:cs="AGA Furat Regular"/>
          <w:color w:val="000066"/>
          <w:sz w:val="24"/>
          <w:szCs w:val="24"/>
          <w:rtl/>
          <w:lang w:eastAsia="en-GB"/>
        </w:rPr>
        <w:t>.</w:t>
      </w:r>
      <w:r w:rsidR="00035D6F">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035D6F">
        <w:rPr>
          <w:rFonts w:ascii="Tahoma" w:eastAsia="Times New Roman" w:hAnsi="Tahoma" w:cs="AGA Furat Regular"/>
          <w:color w:val="FF0066"/>
          <w:sz w:val="24"/>
          <w:szCs w:val="24"/>
          <w:rtl/>
          <w:lang w:eastAsia="en-GB"/>
        </w:rPr>
        <w:t>* في تعريف العقد مرّ قول الفقهاء</w:t>
      </w:r>
      <w:r w:rsidRPr="00CF2FC6">
        <w:rPr>
          <w:rFonts w:ascii="Tahoma" w:eastAsia="Times New Roman" w:hAnsi="Tahoma" w:cs="AGA Furat Regular"/>
          <w:color w:val="000066"/>
          <w:sz w:val="24"/>
          <w:szCs w:val="24"/>
          <w:rtl/>
          <w:lang w:eastAsia="en-GB"/>
        </w:rPr>
        <w:t>: (إرادة منفردة)، و(إرادتين)، وهذا يعني: أن الإرادة الواحدة قد تستقل بإنشاء التزام وعقد، ولا يقتصر هذا على النية فحسب، بل قد يكون هذا الالتزام مالياً، ومن أمثلة الالتزام بإدارة واحدة في الفقه الإسلامي: الجعالة</w:t>
      </w:r>
      <w:r w:rsidR="00B93D75" w:rsidRPr="00CF2FC6">
        <w:rPr>
          <w:rFonts w:ascii="Tahoma" w:eastAsia="Times New Roman" w:hAnsi="Tahoma" w:cs="AGA Furat Regular" w:hint="cs"/>
          <w:color w:val="000066"/>
          <w:sz w:val="24"/>
          <w:szCs w:val="24"/>
          <w:rtl/>
          <w:lang w:eastAsia="en-GB"/>
        </w:rPr>
        <w:t xml:space="preserve"> </w:t>
      </w:r>
      <w:r w:rsidR="00B93D75" w:rsidRPr="00CF2FC6">
        <w:rPr>
          <w:rStyle w:val="FootnoteReference"/>
          <w:rFonts w:ascii="Tahoma" w:eastAsia="Times New Roman" w:hAnsi="Tahoma" w:cs="AGA Furat Regular"/>
          <w:color w:val="000066"/>
          <w:sz w:val="24"/>
          <w:szCs w:val="24"/>
          <w:rtl/>
          <w:lang w:eastAsia="en-GB"/>
        </w:rPr>
        <w:footnoteReference w:id="20"/>
      </w:r>
      <w:r w:rsidRPr="00CF2FC6">
        <w:rPr>
          <w:rFonts w:ascii="Tahoma" w:eastAsia="Times New Roman" w:hAnsi="Tahoma" w:cs="AGA Furat Regular"/>
          <w:color w:val="000066"/>
          <w:sz w:val="24"/>
          <w:szCs w:val="24"/>
          <w:rtl/>
          <w:lang w:eastAsia="en-GB"/>
        </w:rPr>
        <w:t>والوقف</w:t>
      </w:r>
      <w:r w:rsidR="00B93D75" w:rsidRPr="00CF2FC6">
        <w:rPr>
          <w:rFonts w:ascii="Tahoma" w:eastAsia="Times New Roman" w:hAnsi="Tahoma" w:cs="AGA Furat Regular" w:hint="cs"/>
          <w:color w:val="000066"/>
          <w:sz w:val="24"/>
          <w:szCs w:val="24"/>
          <w:rtl/>
          <w:lang w:eastAsia="en-GB"/>
        </w:rPr>
        <w:t xml:space="preserve"> </w:t>
      </w:r>
      <w:r w:rsidR="00B93D75" w:rsidRPr="00CF2FC6">
        <w:rPr>
          <w:rStyle w:val="FootnoteReference"/>
          <w:rFonts w:ascii="Tahoma" w:eastAsia="Times New Roman" w:hAnsi="Tahoma" w:cs="AGA Furat Regular"/>
          <w:color w:val="000066"/>
          <w:sz w:val="24"/>
          <w:szCs w:val="24"/>
          <w:rtl/>
          <w:lang w:eastAsia="en-GB"/>
        </w:rPr>
        <w:footnoteReference w:id="21"/>
      </w:r>
      <w:r w:rsidRPr="00CF2FC6">
        <w:rPr>
          <w:rFonts w:ascii="Tahoma" w:eastAsia="Times New Roman" w:hAnsi="Tahoma" w:cs="AGA Furat Regular"/>
          <w:color w:val="000066"/>
          <w:sz w:val="24"/>
          <w:szCs w:val="24"/>
          <w:rtl/>
          <w:lang w:eastAsia="en-GB"/>
        </w:rPr>
        <w:t>والإبراء</w:t>
      </w:r>
      <w:r w:rsidR="00B93D75" w:rsidRPr="00CF2FC6">
        <w:rPr>
          <w:rFonts w:ascii="Tahoma" w:eastAsia="Times New Roman" w:hAnsi="Tahoma" w:cs="AGA Furat Regular" w:hint="cs"/>
          <w:color w:val="000066"/>
          <w:sz w:val="24"/>
          <w:szCs w:val="24"/>
          <w:rtl/>
          <w:lang w:eastAsia="en-GB"/>
        </w:rPr>
        <w:t xml:space="preserve"> </w:t>
      </w:r>
      <w:r w:rsidR="00B93D75" w:rsidRPr="00CF2FC6">
        <w:rPr>
          <w:rStyle w:val="FootnoteReference"/>
          <w:rFonts w:ascii="Tahoma" w:eastAsia="Times New Roman" w:hAnsi="Tahoma" w:cs="AGA Furat Regular"/>
          <w:color w:val="000066"/>
          <w:sz w:val="24"/>
          <w:szCs w:val="24"/>
          <w:rtl/>
          <w:lang w:eastAsia="en-GB"/>
        </w:rPr>
        <w:footnoteReference w:id="22"/>
      </w:r>
      <w:r w:rsidRPr="00CF2FC6">
        <w:rPr>
          <w:rFonts w:ascii="Tahoma" w:eastAsia="Times New Roman" w:hAnsi="Tahoma" w:cs="AGA Furat Regular"/>
          <w:color w:val="000066"/>
          <w:sz w:val="24"/>
          <w:szCs w:val="24"/>
          <w:rtl/>
          <w:lang w:eastAsia="en-GB"/>
        </w:rPr>
        <w:t>، والوصية</w:t>
      </w:r>
      <w:r w:rsidR="00B93D75" w:rsidRPr="00CF2FC6">
        <w:rPr>
          <w:rFonts w:ascii="Tahoma" w:eastAsia="Times New Roman" w:hAnsi="Tahoma" w:cs="AGA Furat Regular" w:hint="cs"/>
          <w:color w:val="000066"/>
          <w:sz w:val="24"/>
          <w:szCs w:val="24"/>
          <w:rtl/>
          <w:lang w:eastAsia="en-GB"/>
        </w:rPr>
        <w:t xml:space="preserve"> </w:t>
      </w:r>
      <w:r w:rsidR="00B93D75" w:rsidRPr="00CF2FC6">
        <w:rPr>
          <w:rStyle w:val="FootnoteReference"/>
          <w:rFonts w:ascii="Tahoma" w:eastAsia="Times New Roman" w:hAnsi="Tahoma" w:cs="AGA Furat Regular"/>
          <w:color w:val="000066"/>
          <w:sz w:val="24"/>
          <w:szCs w:val="24"/>
          <w:rtl/>
          <w:lang w:eastAsia="en-GB"/>
        </w:rPr>
        <w:footnoteReference w:id="23"/>
      </w:r>
      <w:r w:rsidRPr="00CF2FC6">
        <w:rPr>
          <w:rFonts w:ascii="Tahoma" w:eastAsia="Times New Roman" w:hAnsi="Tahoma" w:cs="AGA Furat Regular"/>
          <w:color w:val="000066"/>
          <w:sz w:val="24"/>
          <w:szCs w:val="24"/>
          <w:rtl/>
          <w:lang w:eastAsia="en-GB"/>
        </w:rPr>
        <w:t>، واليمين</w:t>
      </w:r>
      <w:r w:rsidR="00B93D75" w:rsidRPr="00CF2FC6">
        <w:rPr>
          <w:rFonts w:ascii="Tahoma" w:eastAsia="Times New Roman" w:hAnsi="Tahoma" w:cs="AGA Furat Regular" w:hint="cs"/>
          <w:color w:val="000066"/>
          <w:sz w:val="24"/>
          <w:szCs w:val="24"/>
          <w:rtl/>
          <w:lang w:eastAsia="en-GB"/>
        </w:rPr>
        <w:t xml:space="preserve"> </w:t>
      </w:r>
      <w:r w:rsidR="00B93D75" w:rsidRPr="00CF2FC6">
        <w:rPr>
          <w:rStyle w:val="FootnoteReference"/>
          <w:rFonts w:ascii="Tahoma" w:eastAsia="Times New Roman" w:hAnsi="Tahoma" w:cs="AGA Furat Regular"/>
          <w:color w:val="000066"/>
          <w:sz w:val="24"/>
          <w:szCs w:val="24"/>
          <w:rtl/>
          <w:lang w:eastAsia="en-GB"/>
        </w:rPr>
        <w:footnoteReference w:id="24"/>
      </w:r>
      <w:r w:rsidRPr="00CF2FC6">
        <w:rPr>
          <w:rFonts w:ascii="Tahoma" w:eastAsia="Times New Roman" w:hAnsi="Tahoma" w:cs="AGA Furat Regular"/>
          <w:color w:val="000066"/>
          <w:sz w:val="24"/>
          <w:szCs w:val="24"/>
          <w:rtl/>
          <w:lang w:eastAsia="en-GB"/>
        </w:rPr>
        <w:t>، والكفالة</w:t>
      </w:r>
      <w:r w:rsidR="00B93D75" w:rsidRPr="00CF2FC6">
        <w:rPr>
          <w:rStyle w:val="FootnoteReference"/>
          <w:rFonts w:ascii="Tahoma" w:eastAsia="Times New Roman" w:hAnsi="Tahoma" w:cs="AGA Furat Regular"/>
          <w:color w:val="000066"/>
          <w:sz w:val="24"/>
          <w:szCs w:val="24"/>
          <w:rtl/>
          <w:lang w:eastAsia="en-GB"/>
        </w:rPr>
        <w:footnoteReference w:id="25"/>
      </w:r>
      <w:r w:rsidRPr="00CF2FC6">
        <w:rPr>
          <w:rFonts w:ascii="Tahoma" w:eastAsia="Times New Roman" w:hAnsi="Tahoma" w:cs="AGA Furat Regular"/>
          <w:color w:val="000066"/>
          <w:sz w:val="24"/>
          <w:szCs w:val="24"/>
          <w:rtl/>
          <w:lang w:eastAsia="en-GB"/>
        </w:rPr>
        <w:t xml:space="preserve">.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غير أن الأصل في العقود أن يكون العاقد متعدداً، أي ينشأ العقد بإيجاب وقبول، يُعَبِّر كل واحد من الموجِب والقابل عن إرادته في تنفيذ مقتضيات العقد.</w:t>
      </w:r>
      <w:r w:rsidR="006E4F26" w:rsidRPr="00CF2FC6">
        <w:rPr>
          <w:rFonts w:ascii="Tahoma" w:eastAsia="Times New Roman" w:hAnsi="Tahoma" w:cs="AGA Furat Regular"/>
          <w:color w:val="000066"/>
          <w:sz w:val="24"/>
          <w:szCs w:val="24"/>
          <w:rtl/>
          <w:lang w:eastAsia="en-GB"/>
        </w:rPr>
        <w:br/>
      </w:r>
      <w:r w:rsidR="006E4F26"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lastRenderedPageBreak/>
        <w:t xml:space="preserve">*هل الوعد عقد أم لا ؟ </w:t>
      </w:r>
      <w:r w:rsidRPr="00035D6F">
        <w:rPr>
          <w:rFonts w:ascii="Tahoma" w:eastAsia="Times New Roman" w:hAnsi="Tahoma" w:cs="Al-Mujahed Free"/>
          <w:color w:val="FF0066"/>
          <w:sz w:val="28"/>
          <w:szCs w:val="28"/>
          <w:rtl/>
          <w:lang w:eastAsia="en-GB"/>
        </w:rPr>
        <w:br/>
      </w:r>
      <w:r w:rsidRPr="00CF2FC6">
        <w:rPr>
          <w:rFonts w:ascii="Tahoma" w:eastAsia="Times New Roman" w:hAnsi="Tahoma" w:cs="AGA Furat Regular"/>
          <w:color w:val="000066"/>
          <w:sz w:val="24"/>
          <w:szCs w:val="24"/>
          <w:rtl/>
          <w:lang w:eastAsia="en-GB"/>
        </w:rPr>
        <w:br/>
        <w:t>قد يحصل بين الناس شئ من الالتزام الأدبي في إنشاء عقد في المستقبل، فهل هذا العهد والالتزام الضمني يجب الوفاء به أم لا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يشير الفقهاء</w:t>
      </w:r>
      <w:r w:rsidR="00B93D75" w:rsidRPr="00CF2FC6">
        <w:rPr>
          <w:rStyle w:val="FootnoteReference"/>
          <w:rFonts w:ascii="Tahoma" w:eastAsia="Times New Roman" w:hAnsi="Tahoma" w:cs="AGA Furat Regular"/>
          <w:color w:val="000066"/>
          <w:sz w:val="24"/>
          <w:szCs w:val="24"/>
          <w:rtl/>
          <w:lang w:eastAsia="en-GB"/>
        </w:rPr>
        <w:footnoteReference w:id="26"/>
      </w:r>
      <w:r w:rsidRPr="00CF2FC6">
        <w:rPr>
          <w:rFonts w:ascii="Tahoma" w:eastAsia="Times New Roman" w:hAnsi="Tahoma" w:cs="AGA Furat Regular"/>
          <w:color w:val="000066"/>
          <w:sz w:val="24"/>
          <w:szCs w:val="24"/>
          <w:rtl/>
          <w:lang w:eastAsia="en-GB"/>
        </w:rPr>
        <w:t xml:space="preserve"> إلى أن العقد يلزم الوفاء به ديانةً وقضاءً</w:t>
      </w:r>
      <w:r w:rsidR="00B93D75" w:rsidRPr="00CF2FC6">
        <w:rPr>
          <w:rFonts w:ascii="Tahoma" w:eastAsia="Times New Roman" w:hAnsi="Tahoma" w:cs="AGA Furat Regular" w:hint="cs"/>
          <w:color w:val="000066"/>
          <w:sz w:val="24"/>
          <w:szCs w:val="24"/>
          <w:rtl/>
          <w:lang w:eastAsia="en-GB"/>
        </w:rPr>
        <w:t xml:space="preserve"> </w:t>
      </w:r>
      <w:r w:rsidR="00B93D75" w:rsidRPr="00CF2FC6">
        <w:rPr>
          <w:rStyle w:val="FootnoteReference"/>
          <w:rFonts w:ascii="Tahoma" w:eastAsia="Times New Roman" w:hAnsi="Tahoma" w:cs="AGA Furat Regular"/>
          <w:color w:val="000066"/>
          <w:sz w:val="24"/>
          <w:szCs w:val="24"/>
          <w:rtl/>
          <w:lang w:eastAsia="en-GB"/>
        </w:rPr>
        <w:footnoteReference w:id="27"/>
      </w:r>
      <w:r w:rsidRPr="00CF2FC6">
        <w:rPr>
          <w:rFonts w:ascii="Tahoma" w:eastAsia="Times New Roman" w:hAnsi="Tahoma" w:cs="AGA Furat Regular"/>
          <w:color w:val="000066"/>
          <w:sz w:val="24"/>
          <w:szCs w:val="24"/>
          <w:rtl/>
          <w:lang w:eastAsia="en-GB"/>
        </w:rPr>
        <w:t>، لقوله تعالى: (يَاأَيُّهَا الَّذِينَ آمَنُوا أَوْفُوا بِالْعُقُودِ)</w:t>
      </w:r>
      <w:r w:rsidR="00B93D75" w:rsidRPr="00CF2FC6">
        <w:rPr>
          <w:rStyle w:val="FootnoteReference"/>
          <w:rFonts w:ascii="Tahoma" w:eastAsia="Times New Roman" w:hAnsi="Tahoma" w:cs="AGA Furat Regular"/>
          <w:color w:val="000066"/>
          <w:sz w:val="24"/>
          <w:szCs w:val="24"/>
          <w:rtl/>
          <w:lang w:eastAsia="en-GB"/>
        </w:rPr>
        <w:footnoteReference w:id="28"/>
      </w:r>
      <w:r w:rsidR="00B93D75" w:rsidRPr="00CF2FC6">
        <w:rPr>
          <w:rFonts w:ascii="Tahoma" w:eastAsia="Times New Roman" w:hAnsi="Tahoma" w:cs="AGA Furat Regular"/>
          <w:color w:val="000066"/>
          <w:sz w:val="24"/>
          <w:szCs w:val="24"/>
          <w:rtl/>
          <w:lang w:eastAsia="en-GB"/>
        </w:rPr>
        <w:t xml:space="preserve"> </w:t>
      </w:r>
      <w:r w:rsidRPr="00CF2FC6">
        <w:rPr>
          <w:rFonts w:ascii="Tahoma" w:eastAsia="Times New Roman" w:hAnsi="Tahoma" w:cs="AGA Furat Regular"/>
          <w:color w:val="000066"/>
          <w:sz w:val="24"/>
          <w:szCs w:val="24"/>
          <w:rtl/>
          <w:lang w:eastAsia="en-GB"/>
        </w:rPr>
        <w:t>، وقوله عزَّ وجلَّ: (وَأَوْفُوا بِالْعَهْدِ إِنَّ الْعَهْدَ كَانَ مَسْئُولًا)</w:t>
      </w:r>
      <w:r w:rsidR="00B93D75" w:rsidRPr="00CF2FC6">
        <w:rPr>
          <w:rStyle w:val="FootnoteReference"/>
          <w:rFonts w:ascii="Tahoma" w:eastAsia="Times New Roman" w:hAnsi="Tahoma" w:cs="AGA Furat Regular"/>
          <w:color w:val="000066"/>
          <w:sz w:val="24"/>
          <w:szCs w:val="24"/>
          <w:rtl/>
          <w:lang w:eastAsia="en-GB"/>
        </w:rPr>
        <w:footnoteReference w:id="29"/>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أما الوعد فلا يلزم الوفاء به قضاء، بل الوفاء به مندوب إليه مطلوب ديانة، هذا مذهب جمهور الفقهاء- خلافاً لفقهاء المالكية.</w:t>
      </w:r>
    </w:p>
    <w:p w:rsidR="00897D9F" w:rsidRDefault="00530BF2" w:rsidP="00D73CF7">
      <w:pPr>
        <w:bidi/>
        <w:spacing w:after="0" w:line="240" w:lineRule="auto"/>
        <w:ind w:left="567" w:right="567"/>
        <w:rPr>
          <w:rFonts w:ascii="Tahoma" w:eastAsia="Times New Roman" w:hAnsi="Tahoma" w:cs="AGA Furat Regular"/>
          <w:color w:val="000066"/>
          <w:sz w:val="24"/>
          <w:szCs w:val="24"/>
          <w:rtl/>
          <w:lang w:eastAsia="en-GB"/>
        </w:rPr>
      </w:pPr>
      <w:r w:rsidRPr="00CF2FC6">
        <w:rPr>
          <w:rFonts w:ascii="Tahoma" w:eastAsia="Times New Roman" w:hAnsi="Tahoma" w:cs="AGA Furat Regular"/>
          <w:color w:val="000066"/>
          <w:sz w:val="24"/>
          <w:szCs w:val="24"/>
          <w:rtl/>
          <w:lang w:eastAsia="en-GB"/>
        </w:rPr>
        <w:br/>
      </w:r>
      <w:r w:rsidRPr="00035D6F">
        <w:rPr>
          <w:rFonts w:ascii="Tahoma" w:eastAsia="Times New Roman" w:hAnsi="Tahoma" w:cs="AGA Furat Regular"/>
          <w:color w:val="FF0066"/>
          <w:sz w:val="24"/>
          <w:szCs w:val="24"/>
          <w:rtl/>
          <w:lang w:eastAsia="en-GB"/>
        </w:rPr>
        <w:t>دليل جمهور الفقهاء:</w:t>
      </w:r>
      <w:r w:rsidRPr="00CF2FC6">
        <w:rPr>
          <w:rFonts w:ascii="Tahoma" w:eastAsia="Times New Roman" w:hAnsi="Tahoma" w:cs="AGA Furat Regular"/>
          <w:color w:val="000066"/>
          <w:sz w:val="24"/>
          <w:szCs w:val="24"/>
          <w:rtl/>
          <w:lang w:eastAsia="en-GB"/>
        </w:rPr>
        <w:t xml:space="preserve"> إنَّ الالتزام بالعهد من مكارم الأخلاق، وإن الخُلف بالعهد من صفات المنافقين، قال رسول الله  صلى الله عليه وسلم : "آيَةُ الْمُنَافِقِ ثَلَاثٌ إِذَا حَدَّثَ كَذَبَ وَإِذَا وَعَدَ أَخْلَفَ وَإِذَا اؤْتُمِنَ خَانَ"</w:t>
      </w:r>
      <w:r w:rsidR="00B93D75" w:rsidRPr="00CF2FC6">
        <w:rPr>
          <w:rStyle w:val="FootnoteReference"/>
          <w:rFonts w:ascii="Tahoma" w:eastAsia="Times New Roman" w:hAnsi="Tahoma" w:cs="AGA Furat Regular"/>
          <w:color w:val="000066"/>
          <w:sz w:val="24"/>
          <w:szCs w:val="24"/>
          <w:rtl/>
          <w:lang w:eastAsia="en-GB"/>
        </w:rPr>
        <w:footnoteReference w:id="30"/>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وحذَّر القرآن الكريم المؤمنين من الوقوع في الخلف بالعهد، قال الله تعالى: (يَاأَيُّهَا الَّذِينَ آَمَنُوا لِمَ تَقُولُونَ مَا لَا تَفْعَلُونَ(2)كَبُرَ مَقْتًا عِنْدَ اللَّهِ أَنْ تَقُولُوا مَا لَا تَفْعَلُونَ)</w:t>
      </w:r>
      <w:r w:rsidR="00B93D75" w:rsidRPr="00CF2FC6">
        <w:rPr>
          <w:rStyle w:val="FootnoteReference"/>
          <w:rFonts w:ascii="Tahoma" w:eastAsia="Times New Roman" w:hAnsi="Tahoma" w:cs="AGA Furat Regular"/>
          <w:color w:val="000066"/>
          <w:sz w:val="24"/>
          <w:szCs w:val="24"/>
          <w:rtl/>
          <w:lang w:eastAsia="en-GB"/>
        </w:rPr>
        <w:footnoteReference w:id="31"/>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غير أن الالتزام الأدبي بالعقد، صار لزاماً أن يأخذ قوة في الوفاء به، وبخاصة في المعاملات المالية المعاصرة، ومن الواجب أن يعمل الفقهاء على اختيار الفتوى القاضية بجعل الوفاء بالعهد لازماً قضاءً وديانةً؛ حفاظاً على أموال الناس ومحافظة على القيم الإسلامية النبيلة.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وهذا الذي أرى الفتوى به، قد أشار إليه بعض الفقهاء في السابق، حتى في عهد التابعين فهذا ابن شبرمة</w:t>
      </w:r>
      <w:r w:rsidR="00B93D75" w:rsidRPr="00CF2FC6">
        <w:rPr>
          <w:rStyle w:val="FootnoteReference"/>
          <w:rFonts w:ascii="Tahoma" w:eastAsia="Times New Roman" w:hAnsi="Tahoma" w:cs="AGA Furat Regular"/>
          <w:color w:val="000066"/>
          <w:sz w:val="24"/>
          <w:szCs w:val="24"/>
          <w:rtl/>
          <w:lang w:eastAsia="en-GB"/>
        </w:rPr>
        <w:footnoteReference w:id="32"/>
      </w:r>
      <w:r w:rsidRPr="00CF2FC6">
        <w:rPr>
          <w:rFonts w:ascii="Tahoma" w:eastAsia="Times New Roman" w:hAnsi="Tahoma" w:cs="AGA Furat Regular"/>
          <w:color w:val="000066"/>
          <w:sz w:val="24"/>
          <w:szCs w:val="24"/>
          <w:rtl/>
          <w:lang w:eastAsia="en-GB"/>
        </w:rPr>
        <w:t>يشير إلى إلزام الواعد وإجباره على الوفاء بوعده قضاءً، وذكر ابن حزم</w:t>
      </w:r>
      <w:r w:rsidR="00B93D75" w:rsidRPr="00CF2FC6">
        <w:rPr>
          <w:rStyle w:val="FootnoteReference"/>
          <w:rFonts w:ascii="Tahoma" w:eastAsia="Times New Roman" w:hAnsi="Tahoma" w:cs="AGA Furat Regular"/>
          <w:color w:val="000066"/>
          <w:sz w:val="24"/>
          <w:szCs w:val="24"/>
          <w:rtl/>
          <w:lang w:eastAsia="en-GB"/>
        </w:rPr>
        <w:footnoteReference w:id="33"/>
      </w:r>
      <w:r w:rsidRPr="00CF2FC6">
        <w:rPr>
          <w:rFonts w:ascii="Tahoma" w:eastAsia="Times New Roman" w:hAnsi="Tahoma" w:cs="AGA Furat Regular"/>
          <w:color w:val="000066"/>
          <w:sz w:val="24"/>
          <w:szCs w:val="24"/>
          <w:rtl/>
          <w:lang w:eastAsia="en-GB"/>
        </w:rPr>
        <w:t xml:space="preserve"> والقرافي</w:t>
      </w:r>
      <w:r w:rsidR="00B93D75" w:rsidRPr="00CF2FC6">
        <w:rPr>
          <w:rStyle w:val="FootnoteReference"/>
          <w:rFonts w:ascii="Tahoma" w:eastAsia="Times New Roman" w:hAnsi="Tahoma" w:cs="AGA Furat Regular"/>
          <w:color w:val="000066"/>
          <w:sz w:val="24"/>
          <w:szCs w:val="24"/>
          <w:rtl/>
          <w:lang w:eastAsia="en-GB"/>
        </w:rPr>
        <w:footnoteReference w:id="34"/>
      </w:r>
      <w:r w:rsidRPr="00CF2FC6">
        <w:rPr>
          <w:rFonts w:ascii="Tahoma" w:eastAsia="Times New Roman" w:hAnsi="Tahoma" w:cs="AGA Furat Regular"/>
          <w:color w:val="000066"/>
          <w:sz w:val="24"/>
          <w:szCs w:val="24"/>
          <w:rtl/>
          <w:lang w:eastAsia="en-GB"/>
        </w:rPr>
        <w:t xml:space="preserve"> أن فقهاء المالكية يُلزِمون الواعد بوعده إذا أدخل الموعود له بكلفة، أو كان الوعد مقروناً بذكر السبب</w:t>
      </w:r>
      <w:r w:rsidR="00B93D75" w:rsidRPr="00CF2FC6">
        <w:rPr>
          <w:rStyle w:val="FootnoteReference"/>
          <w:rFonts w:ascii="Tahoma" w:eastAsia="Times New Roman" w:hAnsi="Tahoma" w:cs="AGA Furat Regular"/>
          <w:color w:val="000066"/>
          <w:sz w:val="24"/>
          <w:szCs w:val="24"/>
          <w:rtl/>
          <w:lang w:eastAsia="en-GB"/>
        </w:rPr>
        <w:footnoteReference w:id="35"/>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p>
    <w:p w:rsidR="00897D9F" w:rsidRDefault="00897D9F" w:rsidP="00897D9F">
      <w:pPr>
        <w:bidi/>
        <w:spacing w:after="0" w:line="240" w:lineRule="auto"/>
        <w:ind w:left="567" w:right="567"/>
        <w:rPr>
          <w:rFonts w:ascii="Tahoma" w:eastAsia="Times New Roman" w:hAnsi="Tahoma" w:cs="AGA Furat Regular"/>
          <w:color w:val="000066"/>
          <w:sz w:val="24"/>
          <w:szCs w:val="24"/>
          <w:rtl/>
          <w:lang w:eastAsia="en-GB"/>
        </w:rPr>
      </w:pPr>
    </w:p>
    <w:p w:rsidR="00897D9F" w:rsidRDefault="00897D9F" w:rsidP="00897D9F">
      <w:pPr>
        <w:bidi/>
        <w:spacing w:after="0" w:line="240" w:lineRule="auto"/>
        <w:ind w:left="567" w:right="567"/>
        <w:rPr>
          <w:rFonts w:ascii="Tahoma" w:eastAsia="Times New Roman" w:hAnsi="Tahoma" w:cs="AGA Furat Regular"/>
          <w:color w:val="000066"/>
          <w:sz w:val="24"/>
          <w:szCs w:val="24"/>
          <w:rtl/>
          <w:lang w:eastAsia="en-GB"/>
        </w:rPr>
      </w:pPr>
    </w:p>
    <w:p w:rsidR="00897D9F" w:rsidRDefault="00897D9F" w:rsidP="00897D9F">
      <w:pPr>
        <w:bidi/>
        <w:spacing w:after="0" w:line="240" w:lineRule="auto"/>
        <w:ind w:left="567" w:right="567"/>
        <w:rPr>
          <w:rFonts w:ascii="Tahoma" w:eastAsia="Times New Roman" w:hAnsi="Tahoma" w:cs="AGA Furat Regular"/>
          <w:color w:val="000066"/>
          <w:sz w:val="24"/>
          <w:szCs w:val="24"/>
          <w:rtl/>
          <w:lang w:eastAsia="en-GB"/>
        </w:rPr>
      </w:pPr>
    </w:p>
    <w:p w:rsidR="00D73CF7" w:rsidRDefault="00530BF2" w:rsidP="00897D9F">
      <w:pPr>
        <w:bidi/>
        <w:spacing w:after="0" w:line="240" w:lineRule="auto"/>
        <w:ind w:left="567" w:right="567"/>
        <w:rPr>
          <w:rFonts w:ascii="Tahoma" w:eastAsia="Times New Roman" w:hAnsi="Tahoma" w:cs="AGA Furat Regular"/>
          <w:color w:val="000066"/>
          <w:sz w:val="24"/>
          <w:szCs w:val="24"/>
          <w:rtl/>
          <w:lang w:eastAsia="en-GB"/>
        </w:rPr>
      </w:pPr>
      <w:r w:rsidRPr="00CF2FC6">
        <w:rPr>
          <w:rFonts w:ascii="Tahoma" w:eastAsia="Times New Roman" w:hAnsi="Tahoma" w:cs="AGA Furat Regular"/>
          <w:color w:val="000066"/>
          <w:sz w:val="24"/>
          <w:szCs w:val="24"/>
          <w:rtl/>
          <w:lang w:eastAsia="en-GB"/>
        </w:rPr>
        <w:lastRenderedPageBreak/>
        <w:br/>
        <w:t>واختار فقهاء الحنفية هذا القول إذا كان الوعد مُعَلَّقَاً، فالقاعدة الفقهية لديهم: (المواعيد بصورة التعاليق تكون لازمة)</w:t>
      </w:r>
      <w:r w:rsidR="00B93D75" w:rsidRPr="00CF2FC6">
        <w:rPr>
          <w:rStyle w:val="FootnoteReference"/>
          <w:rFonts w:ascii="Tahoma" w:eastAsia="Times New Roman" w:hAnsi="Tahoma" w:cs="AGA Furat Regular"/>
          <w:color w:val="000066"/>
          <w:sz w:val="24"/>
          <w:szCs w:val="24"/>
          <w:rtl/>
          <w:lang w:eastAsia="en-GB"/>
        </w:rPr>
        <w:footnoteReference w:id="36"/>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ويُلاحظ أن القوانين الوضعية تتفق مع القول بإلزام الواعد بالوفاء، بالعقد أو بالعمل</w:t>
      </w:r>
      <w:r w:rsidR="00B93D75" w:rsidRPr="00CF2FC6">
        <w:rPr>
          <w:rStyle w:val="FootnoteReference"/>
          <w:rFonts w:ascii="Tahoma" w:eastAsia="Times New Roman" w:hAnsi="Tahoma" w:cs="AGA Furat Regular"/>
          <w:color w:val="000066"/>
          <w:sz w:val="24"/>
          <w:szCs w:val="24"/>
          <w:rtl/>
          <w:lang w:eastAsia="en-GB"/>
        </w:rPr>
        <w:footnoteReference w:id="37"/>
      </w:r>
      <w:r w:rsidRPr="00CF2FC6">
        <w:rPr>
          <w:rFonts w:ascii="Tahoma" w:eastAsia="Times New Roman" w:hAnsi="Tahoma" w:cs="AGA Furat Regular"/>
          <w:color w:val="000066"/>
          <w:sz w:val="24"/>
          <w:szCs w:val="24"/>
          <w:rtl/>
          <w:lang w:eastAsia="en-GB"/>
        </w:rPr>
        <w:t>.</w:t>
      </w:r>
      <w:r w:rsidR="00D73CF7">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t>* صيغة العقد:</w:t>
      </w:r>
      <w:r w:rsidRPr="00035D6F">
        <w:rPr>
          <w:rFonts w:ascii="Tahoma" w:eastAsia="Times New Roman" w:hAnsi="Tahoma" w:cs="Al-Mujahed Free"/>
          <w:color w:val="FF0066"/>
          <w:sz w:val="28"/>
          <w:szCs w:val="28"/>
          <w:rtl/>
          <w:lang w:eastAsia="en-GB"/>
        </w:rPr>
        <w:br/>
      </w:r>
      <w:r w:rsidRPr="00CF2FC6">
        <w:rPr>
          <w:rFonts w:ascii="Tahoma" w:eastAsia="Times New Roman" w:hAnsi="Tahoma" w:cs="AGA Furat Regular"/>
          <w:color w:val="000066"/>
          <w:sz w:val="24"/>
          <w:szCs w:val="24"/>
          <w:rtl/>
          <w:lang w:eastAsia="en-GB"/>
        </w:rPr>
        <w:br/>
        <w:t>هي: التعبير الدَّال على إرادة المتعاقدين لإنشاء العقد وإبرامه، ويسمى هذا التعبير: إيجاباً وقبولاً</w:t>
      </w:r>
      <w:r w:rsidR="00B93D75" w:rsidRPr="00CF2FC6">
        <w:rPr>
          <w:rStyle w:val="FootnoteReference"/>
          <w:rFonts w:ascii="Tahoma" w:eastAsia="Times New Roman" w:hAnsi="Tahoma" w:cs="AGA Furat Regular"/>
          <w:color w:val="000066"/>
          <w:sz w:val="24"/>
          <w:szCs w:val="24"/>
          <w:rtl/>
          <w:lang w:eastAsia="en-GB"/>
        </w:rPr>
        <w:footnoteReference w:id="38"/>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والأصل</w:t>
      </w:r>
      <w:r w:rsidR="00B93D75" w:rsidRPr="00CF2FC6">
        <w:rPr>
          <w:rStyle w:val="FootnoteReference"/>
          <w:rFonts w:ascii="Tahoma" w:eastAsia="Times New Roman" w:hAnsi="Tahoma" w:cs="AGA Furat Regular"/>
          <w:color w:val="000066"/>
          <w:sz w:val="24"/>
          <w:szCs w:val="24"/>
          <w:rtl/>
          <w:lang w:eastAsia="en-GB"/>
        </w:rPr>
        <w:footnoteReference w:id="39"/>
      </w:r>
      <w:r w:rsidRPr="00CF2FC6">
        <w:rPr>
          <w:rFonts w:ascii="Tahoma" w:eastAsia="Times New Roman" w:hAnsi="Tahoma" w:cs="AGA Furat Regular"/>
          <w:color w:val="000066"/>
          <w:sz w:val="24"/>
          <w:szCs w:val="24"/>
          <w:rtl/>
          <w:lang w:eastAsia="en-GB"/>
        </w:rPr>
        <w:t>في العقود اتفاق الإرادتين، وتراضي المتعاقدين، وليست الألفاظ إلا ترجمة عن ذلك الاتفاق والتراضي، وقد أوجب الفقه الإسلامي ظهور الإرادتين بشكل واضح بّين، ولا شكَّ فيه؛ حفاظاً على الأموال والأعمال.</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xml:space="preserve">ولا بُدَّ من أن تتوفر في الإيجاب والقبول ثلاثة أمور أساسية: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وضوح المعنى.</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xml:space="preserve">- توافق الإيجاب والقبول.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جزم الإرادتين.</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وسأكتفي بتفصيل الأمر الأول -وضوح المعنى-؛ لكون الأمرين الأخيرين مما لاشكَّ فيهما في العقود حتى تستقيم، أما وضوح المعنى فكيف يكون؟.</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xml:space="preserve">إن التعبير عن إرادة المتعاقدين، تكون أصلاً باللفظ أو بالقول، يقول الشاعر: </w:t>
      </w:r>
      <w:r w:rsidR="006E4F26"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إن الكلام لفي الفؤاد وإنما جُعِلَ اللسان على الفؤاد دليلا</w:t>
      </w:r>
    </w:p>
    <w:p w:rsidR="006E4F26" w:rsidRPr="00CF2FC6" w:rsidRDefault="00530BF2" w:rsidP="00D73CF7">
      <w:pPr>
        <w:bidi/>
        <w:spacing w:after="0" w:line="240" w:lineRule="auto"/>
        <w:ind w:left="567" w:right="567"/>
        <w:rPr>
          <w:rFonts w:ascii="Tahoma" w:eastAsia="Times New Roman" w:hAnsi="Tahoma" w:cs="AGA Furat Regular"/>
          <w:color w:val="000066"/>
          <w:sz w:val="24"/>
          <w:szCs w:val="24"/>
          <w:rtl/>
          <w:lang w:eastAsia="en-GB"/>
        </w:rPr>
      </w:pPr>
      <w:r w:rsidRPr="00CF2FC6">
        <w:rPr>
          <w:rFonts w:ascii="Tahoma" w:eastAsia="Times New Roman" w:hAnsi="Tahoma" w:cs="AGA Furat Regular"/>
          <w:color w:val="000066"/>
          <w:sz w:val="24"/>
          <w:szCs w:val="24"/>
          <w:rtl/>
          <w:lang w:eastAsia="en-GB"/>
        </w:rPr>
        <w:br/>
        <w:t>ويمكن أن يقومَ مقامَ اللفظ -اللسان-، أُيُّ تصرفٍ يدل على الإرادة، سواءٌ كان بالعمل أو بالإشارة أو بالكتابة.</w:t>
      </w:r>
      <w:r w:rsidRPr="00CF2FC6">
        <w:rPr>
          <w:rFonts w:ascii="Tahoma" w:eastAsia="Times New Roman" w:hAnsi="Tahoma" w:cs="AGA Furat Regular"/>
          <w:color w:val="000066"/>
          <w:sz w:val="24"/>
          <w:szCs w:val="24"/>
          <w:rtl/>
          <w:lang w:eastAsia="en-GB"/>
        </w:rPr>
        <w:br/>
        <w:t xml:space="preserve">أما بدون صيغة للعقد أو دلالة على الإرادة فلا يتم العقد، وقد نصت مجلة الأحكام العدلية (المادتان 173- 174)(40)، والقانون المدني السوري المادة رقم (93/1) على انعقاد العقد بأي صيغة تدل عرفاً أو لغةً على </w:t>
      </w:r>
      <w:r w:rsidRPr="00CF2FC6">
        <w:rPr>
          <w:rFonts w:ascii="Tahoma" w:eastAsia="Times New Roman" w:hAnsi="Tahoma" w:cs="AGA Furat Regular"/>
          <w:color w:val="000066"/>
          <w:sz w:val="24"/>
          <w:szCs w:val="24"/>
          <w:rtl/>
          <w:lang w:eastAsia="en-GB"/>
        </w:rPr>
        <w:lastRenderedPageBreak/>
        <w:t>إنشاء العقد، سواء بالقول أو بالفعل أو بالإشارة أو بالكتابة</w:t>
      </w:r>
      <w:r w:rsidR="00B93D75" w:rsidRPr="00CF2FC6">
        <w:rPr>
          <w:rStyle w:val="FootnoteReference"/>
          <w:rFonts w:ascii="Tahoma" w:eastAsia="Times New Roman" w:hAnsi="Tahoma" w:cs="AGA Furat Regular"/>
          <w:color w:val="000066"/>
          <w:sz w:val="24"/>
          <w:szCs w:val="24"/>
          <w:rtl/>
          <w:lang w:eastAsia="en-GB"/>
        </w:rPr>
        <w:footnoteReference w:id="40"/>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واللفظ، هو الإرادة الطبيعية الأصلية في التعبير عن الإرادة الخفية؛ لسهولته وقوة دلالته ووضوحه، ولا يشترط فيه لغة معينة، إذ إنَّ أيَّ لغةٍ يفهمها المتعاقدان تكون كافية لإتمام العقد، كذا لا يشترط فيه عبارةٌ خاصة، ولا لفظٌ معين</w:t>
      </w:r>
      <w:r w:rsidR="00B93D75" w:rsidRPr="00CF2FC6">
        <w:rPr>
          <w:rStyle w:val="FootnoteReference"/>
          <w:rFonts w:ascii="Tahoma" w:eastAsia="Times New Roman" w:hAnsi="Tahoma" w:cs="AGA Furat Regular"/>
          <w:color w:val="000066"/>
          <w:sz w:val="24"/>
          <w:szCs w:val="24"/>
          <w:rtl/>
          <w:lang w:eastAsia="en-GB"/>
        </w:rPr>
        <w:footnoteReference w:id="41"/>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وقد ينعقد العقد بدون قول أو لفظ، وإنما بفعلٍ يرصد من أحد المتعاقدين، أو من كليهما، ويسمى هذا في الفقه: العقد بالمعطاة</w:t>
      </w:r>
      <w:r w:rsidR="00B93D75" w:rsidRPr="00CF2FC6">
        <w:rPr>
          <w:rStyle w:val="FootnoteReference"/>
          <w:rFonts w:ascii="Tahoma" w:eastAsia="Times New Roman" w:hAnsi="Tahoma" w:cs="AGA Furat Regular"/>
          <w:color w:val="000066"/>
          <w:sz w:val="24"/>
          <w:szCs w:val="24"/>
          <w:rtl/>
          <w:lang w:eastAsia="en-GB"/>
        </w:rPr>
        <w:footnoteReference w:id="42"/>
      </w:r>
      <w:r w:rsidRPr="00CF2FC6">
        <w:rPr>
          <w:rFonts w:ascii="Tahoma" w:eastAsia="Times New Roman" w:hAnsi="Tahoma" w:cs="AGA Furat Regular"/>
          <w:color w:val="000066"/>
          <w:sz w:val="24"/>
          <w:szCs w:val="24"/>
          <w:rtl/>
          <w:lang w:eastAsia="en-GB"/>
        </w:rPr>
        <w:t xml:space="preserve"> وهو جائز عند جمهور الفقهاء</w:t>
      </w:r>
      <w:r w:rsidR="00B93D75" w:rsidRPr="00CF2FC6">
        <w:rPr>
          <w:rStyle w:val="FootnoteReference"/>
          <w:rFonts w:ascii="Tahoma" w:eastAsia="Times New Roman" w:hAnsi="Tahoma" w:cs="AGA Furat Regular"/>
          <w:color w:val="000066"/>
          <w:sz w:val="24"/>
          <w:szCs w:val="24"/>
          <w:rtl/>
          <w:lang w:eastAsia="en-GB"/>
        </w:rPr>
        <w:footnoteReference w:id="43"/>
      </w:r>
      <w:r w:rsidRPr="00CF2FC6">
        <w:rPr>
          <w:rFonts w:ascii="Tahoma" w:eastAsia="Times New Roman" w:hAnsi="Tahoma" w:cs="AGA Furat Regular"/>
          <w:color w:val="000066"/>
          <w:sz w:val="24"/>
          <w:szCs w:val="24"/>
          <w:rtl/>
          <w:lang w:eastAsia="en-GB"/>
        </w:rPr>
        <w:t xml:space="preserve"> غير فقهاء الشافعية</w:t>
      </w:r>
      <w:r w:rsidR="00B93D75" w:rsidRPr="00CF2FC6">
        <w:rPr>
          <w:rStyle w:val="FootnoteReference"/>
          <w:rFonts w:ascii="Tahoma" w:eastAsia="Times New Roman" w:hAnsi="Tahoma" w:cs="AGA Furat Regular"/>
          <w:color w:val="000066"/>
          <w:sz w:val="24"/>
          <w:szCs w:val="24"/>
          <w:rtl/>
          <w:lang w:eastAsia="en-GB"/>
        </w:rPr>
        <w:footnoteReference w:id="44"/>
      </w:r>
      <w:r w:rsidRPr="00CF2FC6">
        <w:rPr>
          <w:rFonts w:ascii="Tahoma" w:eastAsia="Times New Roman" w:hAnsi="Tahoma" w:cs="AGA Furat Regular"/>
          <w:color w:val="000066"/>
          <w:sz w:val="24"/>
          <w:szCs w:val="24"/>
          <w:rtl/>
          <w:lang w:eastAsia="en-GB"/>
        </w:rPr>
        <w:t xml:space="preserve">، وقد اتفق القانون المدني السوري المادة رقم (93/1) </w:t>
      </w:r>
      <w:r w:rsidR="00B93D75" w:rsidRPr="00CF2FC6">
        <w:rPr>
          <w:rStyle w:val="FootnoteReference"/>
          <w:rFonts w:ascii="Tahoma" w:eastAsia="Times New Roman" w:hAnsi="Tahoma" w:cs="AGA Furat Regular"/>
          <w:color w:val="000066"/>
          <w:sz w:val="24"/>
          <w:szCs w:val="24"/>
          <w:rtl/>
          <w:lang w:eastAsia="en-GB"/>
        </w:rPr>
        <w:footnoteReference w:id="45"/>
      </w:r>
      <w:r w:rsidRPr="00CF2FC6">
        <w:rPr>
          <w:rFonts w:ascii="Tahoma" w:eastAsia="Times New Roman" w:hAnsi="Tahoma" w:cs="AGA Furat Regular"/>
          <w:color w:val="000066"/>
          <w:sz w:val="24"/>
          <w:szCs w:val="24"/>
          <w:rtl/>
          <w:lang w:eastAsia="en-GB"/>
        </w:rPr>
        <w:t>مع رأي جمهور الفقهاء.</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والتعاقد بالإشارة فيه تفصيل</w:t>
      </w:r>
      <w:r w:rsidR="00B93D75" w:rsidRPr="00CF2FC6">
        <w:rPr>
          <w:rStyle w:val="FootnoteReference"/>
          <w:rFonts w:ascii="Tahoma" w:eastAsia="Times New Roman" w:hAnsi="Tahoma" w:cs="AGA Furat Regular"/>
          <w:color w:val="000066"/>
          <w:sz w:val="24"/>
          <w:szCs w:val="24"/>
          <w:rtl/>
          <w:lang w:eastAsia="en-GB"/>
        </w:rPr>
        <w:footnoteReference w:id="46"/>
      </w:r>
      <w:r w:rsidRPr="00CF2FC6">
        <w:rPr>
          <w:rFonts w:ascii="Tahoma" w:eastAsia="Times New Roman" w:hAnsi="Tahoma" w:cs="AGA Furat Regular"/>
          <w:color w:val="000066"/>
          <w:sz w:val="24"/>
          <w:szCs w:val="24"/>
          <w:rtl/>
          <w:lang w:eastAsia="en-GB"/>
        </w:rPr>
        <w:t>، فالإشارة إما أن تكون من ناطق أو من أخرس فإذا كان العاقد قادراً على النطق فلا ينعقد العقد بإشارته، فالإشارة لا تكون مفيدة لليقين قطعاً ولا يُلجأ إليها إلا عند الضرورة، مع أن فقهاء المالكية</w:t>
      </w:r>
      <w:r w:rsidR="00B93D75" w:rsidRPr="00CF2FC6">
        <w:rPr>
          <w:rStyle w:val="FootnoteReference"/>
          <w:rFonts w:ascii="Tahoma" w:eastAsia="Times New Roman" w:hAnsi="Tahoma" w:cs="AGA Furat Regular"/>
          <w:color w:val="000066"/>
          <w:sz w:val="24"/>
          <w:szCs w:val="24"/>
          <w:rtl/>
          <w:lang w:eastAsia="en-GB"/>
        </w:rPr>
        <w:footnoteReference w:id="47"/>
      </w:r>
      <w:r w:rsidRPr="00CF2FC6">
        <w:rPr>
          <w:rFonts w:ascii="Tahoma" w:eastAsia="Times New Roman" w:hAnsi="Tahoma" w:cs="AGA Furat Regular"/>
          <w:color w:val="000066"/>
          <w:sz w:val="24"/>
          <w:szCs w:val="24"/>
          <w:rtl/>
          <w:lang w:eastAsia="en-GB"/>
        </w:rPr>
        <w:t xml:space="preserve"> وفقهاء الحنابلة</w:t>
      </w:r>
      <w:r w:rsidR="00B93D75" w:rsidRPr="00CF2FC6">
        <w:rPr>
          <w:rStyle w:val="FootnoteReference"/>
          <w:rFonts w:ascii="Tahoma" w:eastAsia="Times New Roman" w:hAnsi="Tahoma" w:cs="AGA Furat Regular"/>
          <w:color w:val="000066"/>
          <w:sz w:val="24"/>
          <w:szCs w:val="24"/>
          <w:rtl/>
          <w:lang w:eastAsia="en-GB"/>
        </w:rPr>
        <w:footnoteReference w:id="48"/>
      </w:r>
      <w:r w:rsidRPr="00CF2FC6">
        <w:rPr>
          <w:rFonts w:ascii="Tahoma" w:eastAsia="Times New Roman" w:hAnsi="Tahoma" w:cs="AGA Furat Regular"/>
          <w:color w:val="000066"/>
          <w:sz w:val="24"/>
          <w:szCs w:val="24"/>
          <w:rtl/>
          <w:lang w:eastAsia="en-GB"/>
        </w:rPr>
        <w:t xml:space="preserve"> أجازوا التعبير عن الإرادة العقدية من الناطق بالإشارة المفهمة، ووافق القانون المدني السوري المادة رقم (93/1) على انعقاد العقد بالإشارة المتداولة عرفاً، ولو كانت من الناطق.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وإذا كان العاقد عاجزاً عن النطق كالأخرس ومعتقل اللسان، فإن كان يُحْسِنُ الكتابة فلا بُدَّ منها؛ لأن الكتابة أبلغ في الدلالة على الإرادة، وأبعد عن الاحتمال من الإشارة، فيُلجأ إليها، أما إذا كان لا يحسن الكتابة، وله إشارة مفهمة فتقوم إشارته مقام النطق باللسان باتفاق الفقهاء للضرورة، وفي مجلة الأحكام العدلية: (الإشارات المعهودة للأخرس كالبيان باللسان)</w:t>
      </w:r>
      <w:r w:rsidR="00B93D75" w:rsidRPr="00CF2FC6">
        <w:rPr>
          <w:rStyle w:val="FootnoteReference"/>
          <w:rFonts w:ascii="Tahoma" w:eastAsia="Times New Roman" w:hAnsi="Tahoma" w:cs="AGA Furat Regular"/>
          <w:color w:val="000066"/>
          <w:sz w:val="24"/>
          <w:szCs w:val="24"/>
          <w:rtl/>
          <w:lang w:eastAsia="en-GB"/>
        </w:rPr>
        <w:footnoteReference w:id="49"/>
      </w:r>
      <w:r w:rsidRPr="00CF2FC6">
        <w:rPr>
          <w:rFonts w:ascii="Tahoma" w:eastAsia="Times New Roman" w:hAnsi="Tahoma" w:cs="AGA Furat Regular"/>
          <w:color w:val="000066"/>
          <w:sz w:val="24"/>
          <w:szCs w:val="24"/>
          <w:rtl/>
          <w:lang w:eastAsia="en-GB"/>
        </w:rPr>
        <w:t>.</w:t>
      </w:r>
      <w:r w:rsidR="006E4F26"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والتعاقد بالكتابة جائز، سواء كان العاقدان ناطقين أم عاجزين عن النطق، وسواء كانا حاضرين في مجلس العقد أم غائبين، وبأي لغة كانت ما دامت الكتابة مفهومة لدى الطرفين.</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lastRenderedPageBreak/>
        <w:t>واشترط الفقهاء أن تكون الكتابةُ مستبينةً باقيةَ الصورةِ بعد الانتهاء منها، مرسومةً، مسطرةً بالطريقة المعتادة بين الناس ؛بذكر المرسل إليه وتوقيع المرسل.</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وفي صحة العقد بالكتابة جاء في مجلة الأحكام العدلية: (الكتاب كالخطاب)</w:t>
      </w:r>
      <w:r w:rsidR="00B93D75" w:rsidRPr="00CF2FC6">
        <w:rPr>
          <w:rStyle w:val="FootnoteReference"/>
          <w:rFonts w:ascii="Tahoma" w:eastAsia="Times New Roman" w:hAnsi="Tahoma" w:cs="AGA Furat Regular"/>
          <w:color w:val="000066"/>
          <w:sz w:val="24"/>
          <w:szCs w:val="24"/>
          <w:rtl/>
          <w:lang w:eastAsia="en-GB"/>
        </w:rPr>
        <w:footnoteReference w:id="50"/>
      </w:r>
      <w:r w:rsidR="00B93D75" w:rsidRPr="00CF2FC6">
        <w:rPr>
          <w:rFonts w:ascii="Tahoma" w:eastAsia="Times New Roman" w:hAnsi="Tahoma" w:cs="AGA Furat Regular"/>
          <w:color w:val="000066"/>
          <w:sz w:val="24"/>
          <w:szCs w:val="24"/>
          <w:rtl/>
          <w:lang w:eastAsia="en-GB"/>
        </w:rPr>
        <w:t xml:space="preserve"> </w:t>
      </w:r>
      <w:r w:rsidRPr="00CF2FC6">
        <w:rPr>
          <w:rFonts w:ascii="Tahoma" w:eastAsia="Times New Roman" w:hAnsi="Tahoma" w:cs="AGA Furat Regular"/>
          <w:color w:val="000066"/>
          <w:sz w:val="24"/>
          <w:szCs w:val="24"/>
          <w:rtl/>
          <w:lang w:eastAsia="en-GB"/>
        </w:rPr>
        <w:t>، وهذا رأي فقهاء الحنفية</w:t>
      </w:r>
      <w:r w:rsidR="00B93D75" w:rsidRPr="00CF2FC6">
        <w:rPr>
          <w:rStyle w:val="FootnoteReference"/>
          <w:rFonts w:ascii="Tahoma" w:eastAsia="Times New Roman" w:hAnsi="Tahoma" w:cs="AGA Furat Regular"/>
          <w:color w:val="000066"/>
          <w:sz w:val="24"/>
          <w:szCs w:val="24"/>
          <w:rtl/>
          <w:lang w:eastAsia="en-GB"/>
        </w:rPr>
        <w:footnoteReference w:id="51"/>
      </w:r>
      <w:r w:rsidRPr="00CF2FC6">
        <w:rPr>
          <w:rFonts w:ascii="Tahoma" w:eastAsia="Times New Roman" w:hAnsi="Tahoma" w:cs="AGA Furat Regular"/>
          <w:color w:val="000066"/>
          <w:sz w:val="24"/>
          <w:szCs w:val="24"/>
          <w:rtl/>
          <w:lang w:eastAsia="en-GB"/>
        </w:rPr>
        <w:t xml:space="preserve"> وفقهاء المالكية</w:t>
      </w:r>
      <w:r w:rsidR="00B93D75" w:rsidRPr="00CF2FC6">
        <w:rPr>
          <w:rStyle w:val="FootnoteReference"/>
          <w:rFonts w:ascii="Tahoma" w:eastAsia="Times New Roman" w:hAnsi="Tahoma" w:cs="AGA Furat Regular"/>
          <w:color w:val="000066"/>
          <w:sz w:val="24"/>
          <w:szCs w:val="24"/>
          <w:rtl/>
          <w:lang w:eastAsia="en-GB"/>
        </w:rPr>
        <w:footnoteReference w:id="52"/>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واشترط فقهاء الشافعية</w:t>
      </w:r>
      <w:r w:rsidR="00B93D75" w:rsidRPr="00CF2FC6">
        <w:rPr>
          <w:rStyle w:val="FootnoteReference"/>
          <w:rFonts w:ascii="Tahoma" w:eastAsia="Times New Roman" w:hAnsi="Tahoma" w:cs="AGA Furat Regular"/>
          <w:color w:val="000066"/>
          <w:sz w:val="24"/>
          <w:szCs w:val="24"/>
          <w:rtl/>
          <w:lang w:eastAsia="en-GB"/>
        </w:rPr>
        <w:footnoteReference w:id="53"/>
      </w:r>
      <w:r w:rsidRPr="00CF2FC6">
        <w:rPr>
          <w:rFonts w:ascii="Tahoma" w:eastAsia="Times New Roman" w:hAnsi="Tahoma" w:cs="AGA Furat Regular"/>
          <w:color w:val="000066"/>
          <w:sz w:val="24"/>
          <w:szCs w:val="24"/>
          <w:rtl/>
          <w:lang w:eastAsia="en-GB"/>
        </w:rPr>
        <w:t>وفقهاء الحنابلة</w:t>
      </w:r>
      <w:r w:rsidR="00B93D75" w:rsidRPr="00CF2FC6">
        <w:rPr>
          <w:rStyle w:val="FootnoteReference"/>
          <w:rFonts w:ascii="Tahoma" w:eastAsia="Times New Roman" w:hAnsi="Tahoma" w:cs="AGA Furat Regular"/>
          <w:color w:val="000066"/>
          <w:sz w:val="24"/>
          <w:szCs w:val="24"/>
          <w:rtl/>
          <w:lang w:eastAsia="en-GB"/>
        </w:rPr>
        <w:footnoteReference w:id="54"/>
      </w:r>
      <w:r w:rsidRPr="00CF2FC6">
        <w:rPr>
          <w:rFonts w:ascii="Tahoma" w:eastAsia="Times New Roman" w:hAnsi="Tahoma" w:cs="AGA Furat Regular"/>
          <w:color w:val="000066"/>
          <w:sz w:val="24"/>
          <w:szCs w:val="24"/>
          <w:rtl/>
          <w:lang w:eastAsia="en-GB"/>
        </w:rPr>
        <w:t xml:space="preserve"> لصحة العقد بالكتابة: أن يكون العاقدان غائبين.</w:t>
      </w:r>
      <w:r w:rsidR="006E4F26"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التعاقد بواسطة آلات الاتصال الحديثة: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مع تطور الحياة وتقدم التقنية وتوفر وسائل الاتصالات الآلية المباشرة، ظهرت مسألة البحث عن فتوى في جواز أم عدم جواز، وكيفية إيجاد المخرج الشرعي المناسب لإجراء العقود بواسطة آلات الاتصال الحديثة، مثل: إجراء العقود عبر الهاتف، وإجراء العقود عبر المراسلات الآلية؛ كالبرقيات أو بواسطة التلكس أو الفاكس (البريد المصور)أو عبر الشبكة العالمية ( الإنترنت) مثلاً.</w:t>
      </w:r>
      <w:r w:rsidR="00D73CF7">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وقد درس فقهاء العصر هذه المسألة؛ أفراداً وجماعات، من خلال أبحاث وكتب الفقه الإسلامي بثوبه الجديد، وكتاباته المعاصرة، وكان من جملة مَن تداول هذا الأمر أعضاء مجمع الفقه الإسلامي بجدة، ووصلوا إلى نتيجة مفادها جواز إجراء العقود بآلات الاتصال الحديثة، كون تلك الآلات تشبه المرسِل سابقاً. ثم إن اتحاد المجلس المطلوب في كل عقد لا يشترط فيه كون المتعاقدين يضمهما مكان واحد، بل يمكن تفسير اتحاد المجلس باتحاد الزمن أو الوقت الذي يكون فيه المتعاقدان مشتغلين بالعقد.</w:t>
      </w:r>
      <w:r w:rsidR="006E4F26"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ففي المراسلات التجارية يكون مجلس العقد هو زمن وصول الرسالة من المُوْجِب إلى الراغب بالقبول، وعليه أن يُظْهِرَ قبوله وموافقته للإيجاب ليتم العقد صحيحاً، فإنْ تَأَخَّرَ القبول إلى مجلسٍ ثان لم ينعقد العقد.وفي الاتصال عبر وسائل الاتصالات الحديثة ( الهاتف، والبريد المصور) يُعَدُّ مجلس العقد هو زمن الاتصال عبر هذه الوسائل مادام الكلام مرتبطاً ومتعلقاً بشأن العقد دون سواه، فإن انتقل المتحدثان ( المتخاطبان) إلى حديث آخر انقطع مجلس العقد، ويكون الالتزام الواجب تنفيذه هو الاتفاق الذي تم خلال مجرى الحديث.</w:t>
      </w:r>
      <w:r w:rsidR="006E4F26" w:rsidRPr="00CF2FC6">
        <w:rPr>
          <w:rFonts w:ascii="Tahoma" w:eastAsia="Times New Roman" w:hAnsi="Tahoma" w:cs="AGA Furat Regular"/>
          <w:color w:val="000066"/>
          <w:sz w:val="24"/>
          <w:szCs w:val="24"/>
          <w:rtl/>
          <w:lang w:eastAsia="en-GB"/>
        </w:rPr>
        <w:br/>
      </w:r>
      <w:r w:rsidR="006E4F26"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t>وقد أجمع الفقهاء على أن العقد يتم وينعقد بين الغائبين - كما في آلات الاتصال الحديثة- بمجرد إعلان القبول، ولا يشترط العلم بالقبول بالنسبة للطرف الموجِب</w:t>
      </w:r>
      <w:r w:rsidR="00B93D75" w:rsidRPr="00CF2FC6">
        <w:rPr>
          <w:rStyle w:val="FootnoteReference"/>
          <w:rFonts w:ascii="Tahoma" w:eastAsia="Times New Roman" w:hAnsi="Tahoma" w:cs="AGA Furat Regular"/>
          <w:color w:val="000066"/>
          <w:sz w:val="24"/>
          <w:szCs w:val="24"/>
          <w:rtl/>
          <w:lang w:eastAsia="en-GB"/>
        </w:rPr>
        <w:footnoteReference w:id="55"/>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لكنْ إبعاداً لكل لَبْسٍ أو غموض، وتمكيناً من إثبات العقد، وتأكيداً لإبرامه، جرى العرف الحاضر على إرسال العرض أولاً، ثم إرسال القبول، ثم إتمام العقد.</w:t>
      </w:r>
      <w:r w:rsidR="006E4F26"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lastRenderedPageBreak/>
        <w:br/>
        <w:t>* محل العقد:</w:t>
      </w:r>
      <w:r w:rsidR="00397049" w:rsidRPr="00035D6F">
        <w:rPr>
          <w:rStyle w:val="FootnoteReference"/>
          <w:rFonts w:ascii="Tahoma" w:eastAsia="Times New Roman" w:hAnsi="Tahoma" w:cs="Al-Mujahed Free"/>
          <w:color w:val="FF0066"/>
          <w:sz w:val="28"/>
          <w:szCs w:val="28"/>
          <w:rtl/>
          <w:lang w:eastAsia="en-GB"/>
        </w:rPr>
        <w:footnoteReference w:id="56"/>
      </w:r>
      <w:r w:rsidR="00397049" w:rsidRPr="00035D6F">
        <w:rPr>
          <w:rFonts w:ascii="Tahoma" w:eastAsia="Times New Roman" w:hAnsi="Tahoma" w:cs="AGA Furat Regular"/>
          <w:color w:val="000066"/>
          <w:sz w:val="28"/>
          <w:szCs w:val="28"/>
          <w:rtl/>
          <w:lang w:eastAsia="en-GB"/>
        </w:rPr>
        <w:t xml:space="preserve">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هو ما يقع عليه العقد، أي هو المعقود عليه، الذي تظهر فيه أحكام العقد وآثاره، فهو: كل شئ طاهر منتفع به شرعاً، سواء كان عيناً أم منفعة؛ سلعة أم خدمة، ويشترط أن يكون معلومَ الوجودِ، والصفةِ، والقَدْرِ، والأَجَلِ إنْ أُجِّلَ، ويشترط أن يكون مقدوراً على تسليمه، وأن يكون سالماً من الغرر والربا، ومن كل شرط مُفْسِد.</w:t>
      </w:r>
      <w:r w:rsidR="00E55910">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t>وهذه الشروط ينبغي التنبه إليها في كل عقد يجريه المصرف ليصار إلى معرفة حكم هذا العقد إن كان موافقاً للشرع يُنَفَّذ، وإلا وجب إبطاله.</w:t>
      </w:r>
      <w:r w:rsidR="006E4F26"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br/>
        <w:t>* موضوع العقد:</w:t>
      </w:r>
      <w:r w:rsidR="00397049" w:rsidRPr="00035D6F">
        <w:rPr>
          <w:rStyle w:val="FootnoteReference"/>
          <w:rFonts w:ascii="Tahoma" w:eastAsia="Times New Roman" w:hAnsi="Tahoma" w:cs="Al-Mujahed Free"/>
          <w:color w:val="FF0066"/>
          <w:sz w:val="28"/>
          <w:szCs w:val="28"/>
          <w:rtl/>
          <w:lang w:eastAsia="en-GB"/>
        </w:rPr>
        <w:footnoteReference w:id="57"/>
      </w:r>
      <w:r w:rsidR="00397049" w:rsidRPr="00035D6F">
        <w:rPr>
          <w:rFonts w:ascii="Tahoma" w:eastAsia="Times New Roman" w:hAnsi="Tahoma" w:cs="AGA Furat Regular"/>
          <w:color w:val="000066"/>
          <w:sz w:val="28"/>
          <w:szCs w:val="28"/>
          <w:rtl/>
          <w:lang w:eastAsia="en-GB"/>
        </w:rPr>
        <w:t xml:space="preserve">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هو المقصد الأصلي الذي شُرِع العقد من أجله، والشرع الحنيف هو الذي يحدد مقصد كل عقد، ومع أن موضوع العقد واحد ثابت في كل فئة أو نوع من أنواع العقود، ولكنه يختلف باختلاف فئات العقود أو أنواعها، فهو في عقود البيع واحد: هو نقل ملكية المبيع للمشتري بعوض، وفي الإجارات: هو تمليك المنفعة بعوض، وفي الهبات: هو تمليك العين الموهوبة بلا عوض، وفي الإعارات: هو تمليك المنفعة بلا عوض، وهكذا…</w:t>
      </w:r>
      <w:r w:rsidR="006E4F26"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FF0000"/>
          <w:sz w:val="24"/>
          <w:szCs w:val="24"/>
          <w:rtl/>
          <w:lang w:eastAsia="en-GB"/>
        </w:rPr>
        <w:br/>
      </w:r>
      <w:r w:rsidRPr="00035D6F">
        <w:rPr>
          <w:rFonts w:ascii="Tahoma" w:eastAsia="Times New Roman" w:hAnsi="Tahoma" w:cs="Al-Mujahed Free"/>
          <w:color w:val="FF0066"/>
          <w:sz w:val="28"/>
          <w:szCs w:val="28"/>
          <w:rtl/>
          <w:lang w:eastAsia="en-GB"/>
        </w:rPr>
        <w:t>* الإرادة العقدية:</w:t>
      </w:r>
      <w:r w:rsidRPr="00035D6F">
        <w:rPr>
          <w:rFonts w:ascii="Tahoma" w:eastAsia="Times New Roman" w:hAnsi="Tahoma" w:cs="Al-Mujahed Free"/>
          <w:color w:val="FF0066"/>
          <w:sz w:val="28"/>
          <w:szCs w:val="28"/>
          <w:rtl/>
          <w:lang w:eastAsia="en-GB"/>
        </w:rPr>
        <w:br/>
      </w:r>
      <w:r w:rsidRPr="00CF2FC6">
        <w:rPr>
          <w:rFonts w:ascii="Tahoma" w:eastAsia="Times New Roman" w:hAnsi="Tahoma" w:cs="AGA Furat Regular"/>
          <w:color w:val="000066"/>
          <w:sz w:val="24"/>
          <w:szCs w:val="24"/>
          <w:rtl/>
          <w:lang w:eastAsia="en-GB"/>
        </w:rPr>
        <w:br/>
        <w:t xml:space="preserve">هي القوة المولَّدة للعقد، ولها شعبتان: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1- الإرادة الباطنة، وهي النية.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xml:space="preserve">2- الإرادة الظاهرة، وهي الألفاظ المعبرة عن النية.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والإرادة الباطنة لها عنصران لا تتحقق بدونهما، وهما: الاختيار والرضا، والاختيار هو القصد، والرضا هو الارتياح إلى العقد والرغبة فيه، وهو ركن جوهري في العقد.</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هذا، وقد عوَّل فقهاء الحنفية(على الاختيار فجعلوه شرطاً من شروط الانعقاد، أما الرضا، فهو شرط صحة عندهم وليس شرط انعقاد.</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فإذا وجد الاختيار والرضا كان العقد صحيحاً منعقداً.</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وإذا وجد الاختيار دون الرضا كان العقد منعقداً فاسداً، حتى يتم الرضا.</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lastRenderedPageBreak/>
        <w:br/>
        <w:t>وأما عند جمهور الفقهاء، فالاختيار والرضا متلازمان، بمعنى أنه لا يوجد أحدهما بدون الآخر، فالاختيار هو القصد إلى العبارات المنشئة للعقود، بحيث تكون ترجمة عما في النفس ودليلاً على الرغبة في العقد وآثاره، وهذا هو معنى الرضا.</w:t>
      </w:r>
      <w:r w:rsidR="006E4F26" w:rsidRPr="00CF2FC6">
        <w:rPr>
          <w:rFonts w:ascii="Tahoma" w:eastAsia="Times New Roman" w:hAnsi="Tahoma" w:cs="AGA Furat Regular"/>
          <w:color w:val="000066"/>
          <w:sz w:val="24"/>
          <w:szCs w:val="24"/>
          <w:rtl/>
          <w:lang w:eastAsia="en-GB"/>
        </w:rPr>
        <w:br/>
      </w:r>
      <w:r w:rsidR="006E4F26"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br/>
        <w:t>• موقف الفقهاء من الإرادة الباطنة والظاهرة</w:t>
      </w:r>
      <w:r w:rsidRPr="00035D6F">
        <w:rPr>
          <w:rFonts w:ascii="Tahoma" w:eastAsia="Times New Roman" w:hAnsi="Tahoma" w:cs="Al-Mujahed Free"/>
          <w:color w:val="FF0066"/>
          <w:sz w:val="28"/>
          <w:szCs w:val="28"/>
          <w:rtl/>
          <w:lang w:eastAsia="en-GB"/>
        </w:rPr>
        <w:br/>
      </w:r>
      <w:r w:rsidRPr="00CF2FC6">
        <w:rPr>
          <w:rFonts w:ascii="Tahoma" w:eastAsia="Times New Roman" w:hAnsi="Tahoma" w:cs="AGA Furat Regular"/>
          <w:color w:val="000066"/>
          <w:sz w:val="24"/>
          <w:szCs w:val="24"/>
          <w:rtl/>
          <w:lang w:eastAsia="en-GB"/>
        </w:rPr>
        <w:br/>
        <w:t>إذا تطابقت الإرادتان كان العقد صحيحاً شرعياً، ولكن في الواقع العملي قد توجد الإرادة الظاهرة وحدها، ولا توجد معها إرادة باطنة، فما حكم العقد؟</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xml:space="preserve">ولن يتم تفصيل صورية العقد كلها، ولا الشك الذي قد يقع في وجود الإرادة، وإنما سيكون الحديث حول ما يخص المعاملات المالية في صورية العقد فيها أحياناً، إذ إن العاقدَّ قد يتخذ شكلاً مباحاً وسيلةً لتحقق غرض غير مباح شرعاً، وهذا ما يسأل عنه كثير من الناس: إن العقد في ظاهره أتم الشروط والأركان، إلا أن الغرض والإرادة الباطنة فيها تحايل على الحرام، ويتخذون الرضا ذريعة لإتمام هذا العقد.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وعلى سبيل المثال: المستقرِض من المصارف يُنْظَر إلى عقده من باب الرضا، سواء كان قرضاً حسناً أم قرضاً ربوياً بفائدة، والمتبايع بالِعينة يتحايل على الربا، وفي ظاهرة العقد تمام للشروط والأركان المعتبرة في البيوع.</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xml:space="preserve">في الأسطر الآتية بيانٌ لرأي الفقهاء في هذه المسألة: </w:t>
      </w:r>
      <w:r w:rsidR="006E4F26"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xml:space="preserve">يندرج رأي الفقهاء في هذه المسألة تحت ما يسمى-نظرية السبب في العقود-، وللفقهاء اتجاهان في هذه القضية: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اتجاه تُغلَّب فيه النظرة الموضوعية، والشكل الظاهر للعقد، (الإرادة الظاهرة).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واتجاه تُلاحظ فيه النيات والبواعث الذاتية، الداخلية، (الإرادة الباطنة).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أما الاتجاه الأول: فهو مذهب فقهاء الحنفية</w:t>
      </w:r>
      <w:r w:rsidR="00397049" w:rsidRPr="00CF2FC6">
        <w:rPr>
          <w:rFonts w:ascii="Tahoma" w:eastAsia="Times New Roman" w:hAnsi="Tahoma" w:cs="AGA Furat Regular"/>
          <w:color w:val="000066"/>
          <w:sz w:val="24"/>
          <w:szCs w:val="24"/>
          <w:rtl/>
          <w:lang w:eastAsia="en-GB"/>
        </w:rPr>
        <w:t xml:space="preserve"> وفقهاء الشافعية</w:t>
      </w:r>
      <w:r w:rsidRPr="00CF2FC6">
        <w:rPr>
          <w:rFonts w:ascii="Tahoma" w:eastAsia="Times New Roman" w:hAnsi="Tahoma" w:cs="AGA Furat Regular"/>
          <w:color w:val="000066"/>
          <w:sz w:val="24"/>
          <w:szCs w:val="24"/>
          <w:rtl/>
          <w:lang w:eastAsia="en-GB"/>
        </w:rPr>
        <w:t>، وقد عوّلوا على الإرادة الظاهرة في العقود، وتعليلهم بأنَّ هذا يَجعل المعاملاتِ المالية في استقرار، أما البواعث الداخلية فهي تهدد المعاملات بالقلق.</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ولا تأثير للسبب أو الباعث على العقد إلا إذا كان مصرحاً به في صيغة التعاقد، فإن لم يُصَرَّح به فالعقد صحيح لاشتماله على أركان العقد الأساسية، لكنه مكروه تحريماً عند فقهاء الحنفية حرام عند فقهاء الشافعية، بسبب النية غير المشروعة.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وأقرب مثال وأوضحه هو بيع العنب لعاصره خمراً، فهو صحيح من حيث العقد، حرام من حيث النية.</w:t>
      </w:r>
      <w:r w:rsidRPr="00CF2FC6">
        <w:rPr>
          <w:rFonts w:ascii="Tahoma" w:eastAsia="Times New Roman" w:hAnsi="Tahoma" w:cs="AGA Furat Regular"/>
          <w:color w:val="000066"/>
          <w:sz w:val="24"/>
          <w:szCs w:val="24"/>
          <w:rtl/>
          <w:lang w:eastAsia="en-GB"/>
        </w:rPr>
        <w:br/>
        <w:t>الذين يُنْظَرون إلى القصد والنية والباعث، فيُبْطِلُون التصرف المشتمل على باعث غير مشروع بشرط أن يكون الطرف الآخر عالماً بالسبب غير المشروع، أو كان بإمكانه أن يعلم بذلك من خلال الظروف والقرائن.</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lastRenderedPageBreak/>
        <w:br/>
        <w:t>فإذا كان الباعث مشروعاً فالعقد صحيح، وإذا كان الباعث غير مشروع فالعقد باطل حرام؛ لما فيه من الإعانة على الإثم والعدوان، فيَبطل عقد بيع العنب لعاصره خمراً، ويبطل عقد فيه تحايل على الربا –كبيع العِيْنَة-، وإن كان من حيث الظاهر تامَّ الأركان والشروط.</w:t>
      </w:r>
      <w:r w:rsidR="00035D6F">
        <w:rPr>
          <w:rFonts w:ascii="Tahoma" w:eastAsia="Times New Roman" w:hAnsi="Tahoma" w:cs="AGA Furat Regular"/>
          <w:color w:val="000066"/>
          <w:sz w:val="24"/>
          <w:szCs w:val="24"/>
          <w:rtl/>
          <w:lang w:eastAsia="en-GB"/>
        </w:rPr>
        <w:br/>
      </w:r>
      <w:r w:rsidR="00035D6F">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t>* سلطان الإرادة العقدية:</w:t>
      </w:r>
      <w:r w:rsidR="00397049" w:rsidRPr="00035D6F">
        <w:rPr>
          <w:rFonts w:ascii="Tahoma" w:eastAsia="Times New Roman" w:hAnsi="Tahoma" w:cs="AGA Furat Regular"/>
          <w:color w:val="000066"/>
          <w:sz w:val="28"/>
          <w:szCs w:val="28"/>
          <w:rtl/>
          <w:lang w:eastAsia="en-GB"/>
        </w:rPr>
        <w:t xml:space="preserve">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اشتهرت على الألسنة قاعدة قا</w:t>
      </w:r>
      <w:r w:rsidR="00D73CF7">
        <w:rPr>
          <w:rFonts w:ascii="Tahoma" w:eastAsia="Times New Roman" w:hAnsi="Tahoma" w:cs="AGA Furat Regular"/>
          <w:color w:val="000066"/>
          <w:sz w:val="24"/>
          <w:szCs w:val="24"/>
          <w:rtl/>
          <w:lang w:eastAsia="en-GB"/>
        </w:rPr>
        <w:t>نونية هي: (العقد</w:t>
      </w:r>
      <w:r w:rsidR="00D73CF7">
        <w:rPr>
          <w:rFonts w:ascii="Tahoma" w:eastAsia="Times New Roman" w:hAnsi="Tahoma" w:cs="AGA Furat Regular" w:hint="cs"/>
          <w:color w:val="000066"/>
          <w:sz w:val="24"/>
          <w:szCs w:val="24"/>
          <w:rtl/>
          <w:lang w:eastAsia="en-GB"/>
        </w:rPr>
        <w:t xml:space="preserve"> </w:t>
      </w:r>
      <w:r w:rsidR="00D73CF7" w:rsidRPr="00D73CF7">
        <w:rPr>
          <w:rStyle w:val="Strong"/>
          <w:rFonts w:ascii="Tahoma" w:hAnsi="Tahoma" w:cs="AGA Furat Regular" w:hint="cs"/>
          <w:b w:val="0"/>
          <w:bCs w:val="0"/>
          <w:color w:val="000066"/>
          <w:sz w:val="24"/>
          <w:szCs w:val="24"/>
          <w:rtl/>
        </w:rPr>
        <w:t xml:space="preserve"> </w:t>
      </w:r>
      <w:r w:rsidR="00D73CF7" w:rsidRPr="00D73CF7">
        <w:rPr>
          <w:rStyle w:val="Strong"/>
          <w:rFonts w:ascii="Tahoma" w:hAnsi="Tahoma" w:cs="AGA Furat Regular"/>
          <w:b w:val="0"/>
          <w:bCs w:val="0"/>
          <w:color w:val="000066"/>
          <w:sz w:val="24"/>
          <w:szCs w:val="24"/>
          <w:rtl/>
        </w:rPr>
        <w:t>شريعة المتعاقدين) أي إن القانون مُلْزِم لكلٍ من الطرفين المتعاقدين فيما تقضيه بنوده وشروطه</w:t>
      </w:r>
      <w:r w:rsidR="00D73CF7" w:rsidRPr="00D73CF7">
        <w:rPr>
          <w:rStyle w:val="Strong"/>
          <w:rFonts w:ascii="Tahoma" w:hAnsi="Tahoma" w:cs="AGA Furat Regular" w:hint="cs"/>
          <w:b w:val="0"/>
          <w:bCs w:val="0"/>
          <w:color w:val="000066"/>
          <w:sz w:val="24"/>
          <w:szCs w:val="24"/>
          <w:rtl/>
        </w:rPr>
        <w:t xml:space="preserve">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وهذا يعني: إعطاء الحرية للمتعاقدين في إنشاء العقد وآثاره المترتبة عليه، دون قيد، إلا بما يسمى: النظام العام، كما يسمح هذا السلطان للإدارة بإنشاء عقود جديدة بحسب ما تقتضيه المصالح الاقتصادية والتطورات الزمنية.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xml:space="preserve">فكأن أَمْرَ العقودِ مَرَدُّه إلى العرف، لا إلى حدود الشرع الذي وَضَعَ قواعد العقد، ونظَّم أحكامها وحدَّد التزاماتها، وهذا لا يعني أن العقود التي مرجعها العرف مرفوضة، بل إن العرف مقبول إذا لم يخالف النصوص الشرعية.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ومما يُلاحَظ أن عمليات المصارف هي من العقود الجديدة-غالباً-، وليست من العقود المسماة-وإن كان الأمر نسبياً-، وفي هذا البحث سيكون الحديث عن تكييف تلك الأعمال المصرفية والعمليات التعاقدية بين المصرف وعملائه ضمن حدود العقود المسماة، فالحرية في التعاقد لا ينبغي أن تكون مطلقة، ورضائية المتعاقدين لا ينبغي أن تكون هي الأساس فقط، بل إن هذه الرضائية والحرية ضمن حدود ما أنزل الله في كتابه وما بَيَّن رسوله  صلى الله عليه وسلم ، وما يقال عن أصل العقد يقال على الشروط والآثار المترتبة عليه، وفي الأسطر الآتية بيان لهذا الموضوع.</w:t>
      </w:r>
    </w:p>
    <w:p w:rsidR="00E55910" w:rsidRDefault="00530BF2" w:rsidP="00505D8F">
      <w:pPr>
        <w:bidi/>
        <w:spacing w:after="0" w:line="240" w:lineRule="auto"/>
        <w:ind w:left="567" w:right="567"/>
        <w:rPr>
          <w:rFonts w:ascii="Tahoma" w:eastAsia="Times New Roman" w:hAnsi="Tahoma" w:cs="Al-Mujahed Free"/>
          <w:color w:val="FF0066"/>
          <w:sz w:val="28"/>
          <w:szCs w:val="28"/>
          <w:rtl/>
          <w:lang w:eastAsia="en-GB"/>
        </w:rPr>
      </w:pP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FF0000"/>
          <w:sz w:val="24"/>
          <w:szCs w:val="24"/>
          <w:rtl/>
          <w:lang w:eastAsia="en-GB"/>
        </w:rPr>
        <w:br/>
      </w:r>
      <w:r w:rsidRPr="00035D6F">
        <w:rPr>
          <w:rFonts w:ascii="Tahoma" w:eastAsia="Times New Roman" w:hAnsi="Tahoma" w:cs="Al-Mujahed Free"/>
          <w:color w:val="FF0066"/>
          <w:sz w:val="28"/>
          <w:szCs w:val="28"/>
          <w:rtl/>
          <w:lang w:eastAsia="en-GB"/>
        </w:rPr>
        <w:t>*حرية التعاقد و رضائيته:</w:t>
      </w:r>
      <w:r w:rsidRPr="00CF2FC6">
        <w:rPr>
          <w:rFonts w:ascii="Tahoma" w:eastAsia="Times New Roman" w:hAnsi="Tahoma" w:cs="AGA Furat Regular"/>
          <w:color w:val="FF0000"/>
          <w:sz w:val="24"/>
          <w:szCs w:val="24"/>
          <w:rtl/>
          <w:lang w:eastAsia="en-GB"/>
        </w:rPr>
        <w:br/>
      </w:r>
      <w:r w:rsidRPr="00CF2FC6">
        <w:rPr>
          <w:rFonts w:ascii="Tahoma" w:eastAsia="Times New Roman" w:hAnsi="Tahoma" w:cs="AGA Furat Regular"/>
          <w:color w:val="000066"/>
          <w:sz w:val="24"/>
          <w:szCs w:val="24"/>
          <w:rtl/>
          <w:lang w:eastAsia="en-GB"/>
        </w:rPr>
        <w:br/>
        <w:t>الرضا هو أساس العقود</w:t>
      </w:r>
      <w:r w:rsidR="00200E15" w:rsidRPr="00CF2FC6">
        <w:rPr>
          <w:rFonts w:ascii="Tahoma" w:eastAsia="Times New Roman" w:hAnsi="Tahoma" w:cs="AGA Furat Regular" w:hint="cs"/>
          <w:color w:val="000066"/>
          <w:sz w:val="24"/>
          <w:szCs w:val="24"/>
          <w:rtl/>
          <w:lang w:eastAsia="en-GB"/>
        </w:rPr>
        <w:t xml:space="preserve"> </w:t>
      </w:r>
      <w:r w:rsidRPr="00CF2FC6">
        <w:rPr>
          <w:rFonts w:ascii="Tahoma" w:eastAsia="Times New Roman" w:hAnsi="Tahoma" w:cs="AGA Furat Regular"/>
          <w:color w:val="000066"/>
          <w:sz w:val="24"/>
          <w:szCs w:val="24"/>
          <w:rtl/>
          <w:lang w:eastAsia="en-GB"/>
        </w:rPr>
        <w:t xml:space="preserve">، دليل ذلك: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قول الله تعالى: (يا أيها الَّذِينَ آمَنُوا لَا تَأْكُلُوا أَمْوَالَكُمْ بَيْنَكُمْ بِالْبَاطِلِ إِلَّا أَنْ تَكُونَ تِجَارَةً عَنْ تَرَاضٍ مِنْكُم).</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وقول رسول الله  صلى الله عليه وسلم : " إِنَّمَا الْبَيْعُ عَنْ تَرَاضٍ"</w:t>
      </w:r>
      <w:r w:rsidR="00200E15" w:rsidRPr="00CF2FC6">
        <w:rPr>
          <w:rFonts w:ascii="Tahoma" w:eastAsia="Times New Roman" w:hAnsi="Tahoma" w:cs="AGA Furat Regular" w:hint="cs"/>
          <w:color w:val="000066"/>
          <w:sz w:val="24"/>
          <w:szCs w:val="24"/>
          <w:rtl/>
          <w:lang w:eastAsia="en-GB"/>
        </w:rPr>
        <w:t xml:space="preserve"> </w:t>
      </w:r>
      <w:r w:rsidRPr="00CF2FC6">
        <w:rPr>
          <w:rFonts w:ascii="Tahoma" w:eastAsia="Times New Roman" w:hAnsi="Tahoma" w:cs="AGA Furat Regular"/>
          <w:color w:val="000066"/>
          <w:sz w:val="24"/>
          <w:szCs w:val="24"/>
          <w:rtl/>
          <w:lang w:eastAsia="en-GB"/>
        </w:rPr>
        <w:t>، وقوله  صلى الله عليه وسلم : " لَا يَحِلُّ لِامْرِئٍ مِنْ مَالِ أَخِيهِ شَيْءٌ إِلَّا بِطِيبِ نَفْسٍ مِنْهُ "</w:t>
      </w:r>
      <w:r w:rsidR="00200E15" w:rsidRPr="00CF2FC6">
        <w:rPr>
          <w:rFonts w:ascii="Tahoma" w:eastAsia="Times New Roman" w:hAnsi="Tahoma" w:cs="AGA Furat Regular" w:hint="cs"/>
          <w:color w:val="000066"/>
          <w:sz w:val="24"/>
          <w:szCs w:val="24"/>
          <w:rtl/>
          <w:lang w:eastAsia="en-GB"/>
        </w:rPr>
        <w:t>.</w:t>
      </w:r>
      <w:r w:rsidR="006E4F26"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مما سبق يُعْلَمُ أن مجرد التراضي هو الذي يولِّد العقد والتزاماته، دون الحاجة لممارسة شكلية معينة، وأن الإرادة حرة في إبرام العقود دون خضوع لإكراه، إلا في بعض الحالات الاستثنائية.</w:t>
      </w:r>
      <w:r w:rsidR="00E55910">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lastRenderedPageBreak/>
        <w:t>* والعقود المصرفية تُبْرَم وتنعقد برضا المصرف، ورضا العميل غالباً، إذ العميل يوافق على الشروط التي يضعها المصرف، وعلى النموذج الذي يحرره المصرف، وربما لا يكون ذلك بكامل الرضا عند العميل، لذا يرى شُرَّاح القانون أن العقود المصرفية تتسم بالإذعان والرضوخ لرأي المصرف، فأدرجوها ضمن عقود الإذعان – في الغالب- نظراً لتعذر مناقشة الشروط الجوهرية والشكلية أيضاً في العقد المبرم.</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والذي يذكره القانونيون يستدعى الانتباه إلى أن العقود المالية بخاصة ينبغي أن تكون بدون إذعان؛ برضائية الطرفين وبكامل حريتهما، وهذا ما يؤكد ضرورة أن تكون العقود المصرفية شرعية، متوافقة مع أصول الشرع وقواعد الدين، إذ إن العقود عندما تكون مستندة إلى أحكام الشريعة فإنها تحقق المصالح للناس، وما يحقق المصالح ليس فيه استغلال ولا ظلم، بل هو تعاون وتضامن.</w:t>
      </w:r>
      <w:r w:rsidR="00E55910">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وإذا كان الرضا هو الأساس، فهل هناك حرية في التعاقد واختيار النظام المناسب لإنشاء العقود أم هناك قيود؟ وبمعنى آخر: الأصل في العقود الحظر والمنع، أم الإباحة والفسح؟.</w:t>
      </w:r>
      <w:r w:rsidR="00E55910">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E55910">
        <w:rPr>
          <w:rFonts w:ascii="Tahoma" w:eastAsia="Times New Roman" w:hAnsi="Tahoma" w:cs="Al-Mujahed Free"/>
          <w:color w:val="FF0066"/>
          <w:sz w:val="28"/>
          <w:szCs w:val="28"/>
          <w:rtl/>
          <w:lang w:eastAsia="en-GB"/>
        </w:rPr>
        <w:t>للفقهاء رأيان:</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E55910">
        <w:rPr>
          <w:rFonts w:ascii="Tahoma" w:eastAsia="Times New Roman" w:hAnsi="Tahoma" w:cs="AGA Furat Regular"/>
          <w:color w:val="FF0066"/>
          <w:sz w:val="24"/>
          <w:szCs w:val="24"/>
          <w:rtl/>
          <w:lang w:eastAsia="en-GB"/>
        </w:rPr>
        <w:t>*الرأي الأول</w:t>
      </w:r>
      <w:r w:rsidRPr="00CF2FC6">
        <w:rPr>
          <w:rFonts w:ascii="Tahoma" w:eastAsia="Times New Roman" w:hAnsi="Tahoma" w:cs="AGA Furat Regular"/>
          <w:color w:val="000066"/>
          <w:sz w:val="24"/>
          <w:szCs w:val="24"/>
          <w:rtl/>
          <w:lang w:eastAsia="en-GB"/>
        </w:rPr>
        <w:t xml:space="preserve">: لفقهاء الظاهرية، القائلين بأن الأصل في العقود المنع حتى يقوم دليل على الإباحة، بمعنى أن كل عقد لم يثبت جوازُه بنص شرعي، فهو باطل ممنوع، ودليلهم: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1- إن الشريعة شاملة لكل شيء، وقد بيّنت ما يحقق مصالح الأمة، ومنها العقود، وأقامتها على العدل، وليس من العدل ترك الحرية للناس في عقدِ ما يريدون من العقود، وما يشاؤون من تصرفات، وإلا هُدِمَت الشريعة.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2- قول رسول الله  صلى الله عليه وسلم : "مَنْ أَحْدَثَ فِي أَمْرِنَا هَذَا مَا لَيْسَ فِيهِ فَهُوَ رَدٌّ"، وإذا تعاقد الناس بعقد لم يَردْ في الشريعة فقد أحلُّوا أو حرَّموا غير ما شرع الله.</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E55910">
        <w:rPr>
          <w:rFonts w:ascii="Tahoma" w:eastAsia="Times New Roman" w:hAnsi="Tahoma" w:cs="AGA Furat Regular"/>
          <w:color w:val="FF0066"/>
          <w:sz w:val="24"/>
          <w:szCs w:val="24"/>
          <w:rtl/>
          <w:lang w:eastAsia="en-GB"/>
        </w:rPr>
        <w:t>*والرأي الآخر:</w:t>
      </w:r>
      <w:r w:rsidRPr="00CF2FC6">
        <w:rPr>
          <w:rFonts w:ascii="Tahoma" w:eastAsia="Times New Roman" w:hAnsi="Tahoma" w:cs="AGA Furat Regular"/>
          <w:color w:val="000066"/>
          <w:sz w:val="24"/>
          <w:szCs w:val="24"/>
          <w:rtl/>
          <w:lang w:eastAsia="en-GB"/>
        </w:rPr>
        <w:t xml:space="preserve"> لبقية الفقهاء، القائلين بأن الأصل في العقود الإباحة ما لم يمنعها الشرع أو تخالف نصوص الشريعة، ودليلهم:</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1- إن الآيات الكريمة</w:t>
      </w:r>
      <w:r w:rsidR="00200E15" w:rsidRPr="00CF2FC6">
        <w:rPr>
          <w:rFonts w:ascii="Tahoma" w:eastAsia="Times New Roman" w:hAnsi="Tahoma" w:cs="AGA Furat Regular" w:hint="cs"/>
          <w:color w:val="000066"/>
          <w:sz w:val="24"/>
          <w:szCs w:val="24"/>
          <w:rtl/>
          <w:lang w:eastAsia="en-GB"/>
        </w:rPr>
        <w:t xml:space="preserve"> </w:t>
      </w:r>
      <w:r w:rsidRPr="00CF2FC6">
        <w:rPr>
          <w:rFonts w:ascii="Tahoma" w:eastAsia="Times New Roman" w:hAnsi="Tahoma" w:cs="AGA Furat Regular"/>
          <w:color w:val="000066"/>
          <w:sz w:val="24"/>
          <w:szCs w:val="24"/>
          <w:rtl/>
          <w:lang w:eastAsia="en-GB"/>
        </w:rPr>
        <w:t>، والأحاديث الشريفة</w:t>
      </w:r>
      <w:r w:rsidR="00200E15" w:rsidRPr="00CF2FC6">
        <w:rPr>
          <w:rFonts w:ascii="Tahoma" w:eastAsia="Times New Roman" w:hAnsi="Tahoma" w:cs="AGA Furat Regular" w:hint="cs"/>
          <w:color w:val="000066"/>
          <w:sz w:val="24"/>
          <w:szCs w:val="24"/>
          <w:rtl/>
          <w:lang w:eastAsia="en-GB"/>
        </w:rPr>
        <w:t xml:space="preserve"> </w:t>
      </w:r>
      <w:r w:rsidRPr="00CF2FC6">
        <w:rPr>
          <w:rFonts w:ascii="Tahoma" w:eastAsia="Times New Roman" w:hAnsi="Tahoma" w:cs="AGA Furat Regular"/>
          <w:color w:val="000066"/>
          <w:sz w:val="24"/>
          <w:szCs w:val="24"/>
          <w:rtl/>
          <w:lang w:eastAsia="en-GB"/>
        </w:rPr>
        <w:t>التي ذكرت العقود والتجارة والتبادل لم تشترط لصحة العقد إلا الرضا والاختيار.</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2- قول الله تبارك وتعالى: (يَا أَيُّهَا الَّذِينَ آمَنُوا أَوْفُوا بِالْعُقُودِ)</w:t>
      </w:r>
      <w:r w:rsidR="00397049" w:rsidRPr="00CF2FC6">
        <w:rPr>
          <w:rFonts w:ascii="Tahoma" w:eastAsia="Times New Roman" w:hAnsi="Tahoma" w:cs="AGA Furat Regular"/>
          <w:color w:val="000066"/>
          <w:sz w:val="24"/>
          <w:szCs w:val="24"/>
          <w:rtl/>
          <w:lang w:eastAsia="en-GB"/>
        </w:rPr>
        <w:t xml:space="preserve"> </w:t>
      </w:r>
      <w:r w:rsidRPr="00CF2FC6">
        <w:rPr>
          <w:rFonts w:ascii="Tahoma" w:eastAsia="Times New Roman" w:hAnsi="Tahoma" w:cs="AGA Furat Regular"/>
          <w:color w:val="000066"/>
          <w:sz w:val="24"/>
          <w:szCs w:val="24"/>
          <w:rtl/>
          <w:lang w:eastAsia="en-GB"/>
        </w:rPr>
        <w:t>، فقد أوجبت هذه الآية الوفاء بكل عقد دون استثناء.</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3- يَكفي في المعاملات ألا تُحَرِّمَها الشريعة؛ استصحاباً للمبدأ الأصولي، وهو: (الأصل في الأفعال والأقوال والأشياء هو الإباحة)</w:t>
      </w:r>
      <w:r w:rsidR="00397049" w:rsidRPr="00CF2FC6">
        <w:rPr>
          <w:rFonts w:ascii="Tahoma" w:eastAsia="Times New Roman" w:hAnsi="Tahoma" w:cs="AGA Furat Regular"/>
          <w:color w:val="000066"/>
          <w:sz w:val="24"/>
          <w:szCs w:val="24"/>
          <w:rtl/>
          <w:lang w:eastAsia="en-GB"/>
        </w:rPr>
        <w:t xml:space="preserve"> </w:t>
      </w:r>
      <w:r w:rsidRPr="00CF2FC6">
        <w:rPr>
          <w:rFonts w:ascii="Tahoma" w:eastAsia="Times New Roman" w:hAnsi="Tahoma" w:cs="AGA Furat Regular"/>
          <w:color w:val="000066"/>
          <w:sz w:val="24"/>
          <w:szCs w:val="24"/>
          <w:rtl/>
          <w:lang w:eastAsia="en-GB"/>
        </w:rPr>
        <w:t>؛ لأن القصد في المعاملات رعاية مصالح الناس، فكل ما يحقق مصالحهم يكون مباحاً.</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وبإنعام النظر في هذين الرأيين، يمكن القول:</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lastRenderedPageBreak/>
        <w:br/>
        <w:t>إنَّه يصح التعامل بعقود جديدة لم تُعْرَف سابقاً، وذلك إما عن طريق قياسها على ما سبق، أو عن طريق الاستحسان، أو بالأخذ بمبدأ العرف الذي لا يصادم أصول الشريعة، ولا يخالف مبادئ الإسلام.</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فالالتزام بالشريعة- وبخاصة في مجال المعاملات- يكون في الأهداف والغايات والمقاصد، أما الوسائل وشكليات العقود، فيمكن أن تتغير إذا كانت تحقق مصالح العباد في المعاش والحياة، وترفع الحرج عنهم؛ بعيداً عن الباطل والحرام.</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إذاً، فالأصل الفقهي في المعاملات هو: الحل، وليس الحرمة، ولا تَحْرُم معاملة إلا إذا بانت مخالفتها للنص الشرعي، ولا يَبْطُل عقدٌ إلا إذا اتضح ضرره، فالشريعة لم تحَصِرْ التعاقد في موضوعات يمنع تجاوزها إلى موضوعات أخرى</w:t>
      </w:r>
      <w:r w:rsidR="00200E15" w:rsidRPr="00CF2FC6">
        <w:rPr>
          <w:rFonts w:ascii="Tahoma" w:eastAsia="Times New Roman" w:hAnsi="Tahoma" w:cs="AGA Furat Regular" w:hint="cs"/>
          <w:color w:val="000066"/>
          <w:sz w:val="24"/>
          <w:szCs w:val="24"/>
          <w:rtl/>
          <w:lang w:eastAsia="en-GB"/>
        </w:rPr>
        <w:t xml:space="preserve"> ،</w:t>
      </w:r>
      <w:r w:rsidRPr="00CF2FC6">
        <w:rPr>
          <w:rFonts w:ascii="Tahoma" w:eastAsia="Times New Roman" w:hAnsi="Tahoma" w:cs="AGA Furat Regular"/>
          <w:color w:val="000066"/>
          <w:sz w:val="24"/>
          <w:szCs w:val="24"/>
          <w:rtl/>
          <w:lang w:eastAsia="en-GB"/>
        </w:rPr>
        <w:t xml:space="preserve"> وكل ما قيدته الشريعة هو منع الضرر والظلم والاستغلال.</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xml:space="preserve">ومن الواضح أن المعاملات المصرفية ليس فيها ما يعوق أو يحول دون تقبلها في إطار الفقه الإسلامي؛ من ناحية كونها عقوداً أو معاملات جديدة غير معروفة عند الفقهاء الأقدمين، وكل ما يجب مراعاته هو التأكد من كون هذه العقود الجديدة لا تنطوي على مخالفة، أو تَعارُضٍ مع مقاصد الشريعة وأهدافها.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فالشريعة جاءت بكل ما فيه خيرُ العباد، وليس في شئ من أحكامها تضييق ولا حرج على الأمة، إذ إن أحد أسس التشريع الإسلامي: عدم الحرج وعدم التضييق.</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E55910">
        <w:rPr>
          <w:rFonts w:ascii="Tahoma" w:eastAsia="Times New Roman" w:hAnsi="Tahoma" w:cs="AGA Furat Regular"/>
          <w:color w:val="FF0066"/>
          <w:sz w:val="24"/>
          <w:szCs w:val="24"/>
          <w:rtl/>
          <w:lang w:eastAsia="en-GB"/>
        </w:rPr>
        <w:t>يشهد لذلك القرآن والسنة النبوية:</w:t>
      </w:r>
      <w:r w:rsidR="00397049"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أما القرآن فقول الله تبارك وتعالى: ( يُرِيدُ اللَّهُ بِكُمْ الْيُسْرَ وَلَا يُرِيدُ بِكُمْ الْعُسْرَ).</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وقوله عزَّ وجلَّ: (مَا يُرِيدُ اللَّهُ لِيَجْعَلَ عَلَيْكُمْ مِنْ حَرَجٍ).</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وقوله جلَّ ذكره: (وَمَا جَعَلَ عَلَيْكُمْ فِي الدِّينِ مِنْ حَرَجٍ).</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وقد جاءت هذه المعاني السامية ضمن أحاديث رسول الله  صلى الله عليه وسلم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فعَنْ عَائِشَةَ</w:t>
      </w:r>
      <w:r w:rsidR="00200E15" w:rsidRPr="00CF2FC6">
        <w:rPr>
          <w:rFonts w:ascii="Tahoma" w:eastAsia="Times New Roman" w:hAnsi="Tahoma" w:cs="AGA Furat Regular" w:hint="cs"/>
          <w:color w:val="000066"/>
          <w:sz w:val="24"/>
          <w:szCs w:val="24"/>
          <w:rtl/>
          <w:lang w:eastAsia="en-GB"/>
        </w:rPr>
        <w:t xml:space="preserve"> </w:t>
      </w:r>
      <w:r w:rsidRPr="00CF2FC6">
        <w:rPr>
          <w:rFonts w:ascii="Tahoma" w:eastAsia="Times New Roman" w:hAnsi="Tahoma" w:cs="AGA Furat Regular"/>
          <w:color w:val="000066"/>
          <w:sz w:val="24"/>
          <w:szCs w:val="24"/>
          <w:rtl/>
          <w:lang w:eastAsia="en-GB"/>
        </w:rPr>
        <w:t>رَضِيَ اللَّهُ عَنْهَا أَنَّهَا قَالَتْ: مَا خُيِّرَ رَسُولُ اللَّهِ  صلى الله عليه وسلم  بَيْنَ أَمْرَيْنِ إِلَّا أَخَذَ أَيْسَرَهُمَا مَا لَمْ يَكُنْ إِثْمًا فَإِنْ كَانَ إِثْمًا كَانَ أَبْعَدَ النَّاسِ مِنْهُ وَمَا انْتَقَمَ رَسُولُ اللَّهِ  صلى الله عليه وسلم  لِنَفْسِهِ إِلَّا أَنْ تُنْتَهَكَ حُرْمَةُ اللَّهِ فَيَنْتَقِمَ لِلَّهِ بِهَا".</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وعن أبي موسى الأشعري</w:t>
      </w:r>
      <w:r w:rsidR="00505D8F" w:rsidRPr="00CF2FC6">
        <w:rPr>
          <w:rFonts w:ascii="Tahoma" w:eastAsia="Times New Roman" w:hAnsi="Tahoma" w:cs="AGA Furat Regular" w:hint="cs"/>
          <w:color w:val="000066"/>
          <w:sz w:val="24"/>
          <w:szCs w:val="24"/>
          <w:rtl/>
          <w:lang w:eastAsia="en-GB"/>
        </w:rPr>
        <w:t xml:space="preserve"> </w:t>
      </w:r>
      <w:r w:rsidRPr="00CF2FC6">
        <w:rPr>
          <w:rFonts w:ascii="Tahoma" w:eastAsia="Times New Roman" w:hAnsi="Tahoma" w:cs="AGA Furat Regular"/>
          <w:color w:val="000066"/>
          <w:sz w:val="24"/>
          <w:szCs w:val="24"/>
          <w:rtl/>
          <w:lang w:eastAsia="en-GB"/>
        </w:rPr>
        <w:t>قَالَ: كَانَ رَسُولُ اللَّهِ  صلى الله عليه وسلم  إِذَا بَعَثَ أَحَدًا مِنْ أَصْحَابِهِ فِي بَعْضِ أَمْرِهِ قَالَ: بَشِّرُوا وَلَا تُنَفِّرُوا وَيَسِّرُوا وَلَا تُعَسِّرُوا".</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xml:space="preserve">وفي بيان سهولة تعاليم الإسلام، ويسر التشريع، ورفع الحرج، وعدم التضييق، يقول ابن القيم: (إن الشريعة مبناها وأساسُها على الحِكَم ومصالح العباد، في المعاش والمعاد، وهي عدل كلها، ورحمة كلها، ومصالح كلها، </w:t>
      </w:r>
      <w:r w:rsidRPr="00CF2FC6">
        <w:rPr>
          <w:rFonts w:ascii="Tahoma" w:eastAsia="Times New Roman" w:hAnsi="Tahoma" w:cs="AGA Furat Regular"/>
          <w:color w:val="000066"/>
          <w:sz w:val="24"/>
          <w:szCs w:val="24"/>
          <w:rtl/>
          <w:lang w:eastAsia="en-GB"/>
        </w:rPr>
        <w:lastRenderedPageBreak/>
        <w:t>وحكمة كلها، فكل مسألة خرجت عن العدل إلى الجَوْر، وعن الرحمة إلى ضدها، وعن المصلحة إلى المفسدة، وعن الحكمة إلى العبث، فليست من الشريعة، وإنْ أُدخلت فيها بالتأويل؛ فالشريعة عدل الله بين عباده، ورحمته بين خلقه، وظله في أرضه، وحكمته الدالة عليه، وعلى صدق رسوله  صلى الله عليه وسلم  أتم دلالة وأصدقها).</w:t>
      </w:r>
      <w:r w:rsidR="00E55910">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ويحسن أن أختم هذا الجزء من البحث بإيراد قاعدة تحكم العقود، وتضبط العمليات المالية والأعمال المصرفية لتكون منهاجاً لدراسة التطبيقات القادمة، وقد ذُكِرَتْ هذه القاعدة الذهبية في كلام ابن القيم: (الأصل في العقود كلها إنما هو العدل الذي بُعِثَتْ به الرسل وأُنْزِلَت الكتب)</w:t>
      </w:r>
      <w:r w:rsidR="00634C12" w:rsidRPr="00CF2FC6">
        <w:rPr>
          <w:rFonts w:ascii="Tahoma" w:eastAsia="Times New Roman" w:hAnsi="Tahoma" w:cs="AGA Furat Regular"/>
          <w:color w:val="000066"/>
          <w:sz w:val="24"/>
          <w:szCs w:val="24"/>
          <w:rtl/>
          <w:lang w:eastAsia="en-GB"/>
        </w:rPr>
        <w:t xml:space="preserve"> </w:t>
      </w:r>
      <w:r w:rsidRPr="00CF2FC6">
        <w:rPr>
          <w:rFonts w:ascii="Tahoma" w:eastAsia="Times New Roman" w:hAnsi="Tahoma" w:cs="AGA Furat Regular"/>
          <w:color w:val="000066"/>
          <w:sz w:val="24"/>
          <w:szCs w:val="24"/>
          <w:rtl/>
          <w:lang w:eastAsia="en-GB"/>
        </w:rPr>
        <w:t>، قال الله تعالى: (لَقَدْ أَرْسَلْنَا رُسُلَنَا بِالْبَيِّنَاتِ وَأَنْزَلْنَا مَعَهُمْ الْكِتَابَ وَالْمِيزَانَ لِيَقُومَ النَّاسُ بِالْقِسْطِ)</w:t>
      </w:r>
      <w:r w:rsidR="00505D8F" w:rsidRPr="00CF2FC6">
        <w:rPr>
          <w:rFonts w:ascii="Tahoma" w:eastAsia="Times New Roman" w:hAnsi="Tahoma" w:cs="AGA Furat Regular" w:hint="cs"/>
          <w:color w:val="000066"/>
          <w:sz w:val="24"/>
          <w:szCs w:val="24"/>
          <w:rtl/>
          <w:lang w:eastAsia="en-GB"/>
        </w:rPr>
        <w:t>.</w:t>
      </w:r>
      <w:r w:rsidR="00505D8F" w:rsidRPr="00CF2FC6">
        <w:rPr>
          <w:rFonts w:ascii="Tahoma" w:eastAsia="Times New Roman" w:hAnsi="Tahoma" w:cs="AGA Furat Regular"/>
          <w:color w:val="000066"/>
          <w:sz w:val="24"/>
          <w:szCs w:val="24"/>
          <w:rtl/>
          <w:lang w:eastAsia="en-GB"/>
        </w:rPr>
        <w:t xml:space="preserve">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br/>
        <w:t>* تصنيف العقود:</w:t>
      </w:r>
      <w:r w:rsidRPr="00CF2FC6">
        <w:rPr>
          <w:rFonts w:ascii="Tahoma" w:eastAsia="Times New Roman" w:hAnsi="Tahoma" w:cs="AGA Furat Regular"/>
          <w:color w:val="000066"/>
          <w:sz w:val="24"/>
          <w:szCs w:val="24"/>
          <w:rtl/>
          <w:lang w:eastAsia="en-GB"/>
        </w:rPr>
        <w:br/>
      </w:r>
      <w:r w:rsidRPr="00E55910">
        <w:rPr>
          <w:rFonts w:ascii="Tahoma" w:eastAsia="Times New Roman" w:hAnsi="Tahoma" w:cs="AGA Furat Regular"/>
          <w:color w:val="7030A0"/>
          <w:sz w:val="24"/>
          <w:szCs w:val="24"/>
          <w:rtl/>
          <w:lang w:eastAsia="en-GB"/>
        </w:rPr>
        <w:br/>
        <w:t>بعد بيان تعريف العقد وموضوعه، والقاعدة الحاكمة له، فيما يلي بيان لتصنيف العقود، والذي يتبع لاعتبارات مختلفة</w:t>
      </w:r>
      <w:r w:rsidR="00505D8F" w:rsidRPr="00E55910">
        <w:rPr>
          <w:rFonts w:ascii="Tahoma" w:eastAsia="Times New Roman" w:hAnsi="Tahoma" w:cs="AGA Furat Regular" w:hint="cs"/>
          <w:color w:val="7030A0"/>
          <w:sz w:val="24"/>
          <w:szCs w:val="24"/>
          <w:rtl/>
          <w:lang w:eastAsia="en-GB"/>
        </w:rPr>
        <w:t xml:space="preserve"> </w:t>
      </w:r>
      <w:r w:rsidRPr="00E55910">
        <w:rPr>
          <w:rFonts w:ascii="Tahoma" w:eastAsia="Times New Roman" w:hAnsi="Tahoma" w:cs="AGA Furat Regular"/>
          <w:color w:val="7030A0"/>
          <w:sz w:val="24"/>
          <w:szCs w:val="24"/>
          <w:rtl/>
          <w:lang w:eastAsia="en-GB"/>
        </w:rPr>
        <w:t>حاول الباحث تجميعها في أربعة عشر تقسيماً:</w:t>
      </w:r>
      <w:r w:rsidR="00E55910">
        <w:rPr>
          <w:rFonts w:ascii="Tahoma" w:eastAsia="Times New Roman" w:hAnsi="Tahoma" w:cs="AGA Furat Regular"/>
          <w:color w:val="FF0000"/>
          <w:sz w:val="24"/>
          <w:szCs w:val="24"/>
          <w:rtl/>
          <w:lang w:eastAsia="en-GB"/>
        </w:rPr>
        <w:t xml:space="preserve"> </w:t>
      </w:r>
      <w:r w:rsidR="00E55910">
        <w:rPr>
          <w:rFonts w:ascii="Tahoma" w:eastAsia="Times New Roman" w:hAnsi="Tahoma" w:cs="AGA Furat Regular"/>
          <w:color w:val="FF0000"/>
          <w:sz w:val="24"/>
          <w:szCs w:val="24"/>
          <w:rtl/>
          <w:lang w:eastAsia="en-GB"/>
        </w:rPr>
        <w:br/>
      </w:r>
      <w:r w:rsidR="00E55910">
        <w:rPr>
          <w:rFonts w:ascii="Tahoma" w:eastAsia="Times New Roman" w:hAnsi="Tahoma" w:cs="AGA Furat Regular"/>
          <w:color w:val="FF0000"/>
          <w:sz w:val="24"/>
          <w:szCs w:val="24"/>
          <w:rtl/>
          <w:lang w:eastAsia="en-GB"/>
        </w:rPr>
        <w:br/>
      </w:r>
      <w:r w:rsidRPr="00CF2FC6">
        <w:rPr>
          <w:rFonts w:ascii="Tahoma" w:eastAsia="Times New Roman" w:hAnsi="Tahoma" w:cs="AGA Furat Regular"/>
          <w:color w:val="FF0000"/>
          <w:sz w:val="24"/>
          <w:szCs w:val="24"/>
          <w:rtl/>
          <w:lang w:eastAsia="en-GB"/>
        </w:rPr>
        <w:br/>
      </w:r>
      <w:r w:rsidRPr="00035D6F">
        <w:rPr>
          <w:rFonts w:ascii="Tahoma" w:eastAsia="Times New Roman" w:hAnsi="Tahoma" w:cs="Al-Mujahed Free"/>
          <w:color w:val="FF0066"/>
          <w:sz w:val="28"/>
          <w:szCs w:val="28"/>
          <w:rtl/>
          <w:lang w:eastAsia="en-GB"/>
        </w:rPr>
        <w:t>- التقسيم الأول: أنواع العقود عموماً ثلاثة</w:t>
      </w:r>
      <w:r w:rsidR="00505D8F" w:rsidRPr="00035D6F">
        <w:rPr>
          <w:rFonts w:ascii="Tahoma" w:eastAsia="Times New Roman" w:hAnsi="Tahoma" w:cs="Al-Mujahed Free" w:hint="cs"/>
          <w:color w:val="FF0066"/>
          <w:sz w:val="28"/>
          <w:szCs w:val="28"/>
          <w:rtl/>
          <w:lang w:eastAsia="en-GB"/>
        </w:rPr>
        <w:t xml:space="preserve"> </w:t>
      </w:r>
      <w:r w:rsidRPr="00035D6F">
        <w:rPr>
          <w:rFonts w:ascii="Tahoma" w:eastAsia="Times New Roman" w:hAnsi="Tahoma" w:cs="Al-Mujahed Free"/>
          <w:color w:val="FF0066"/>
          <w:sz w:val="28"/>
          <w:szCs w:val="28"/>
          <w:rtl/>
          <w:lang w:eastAsia="en-GB"/>
        </w:rPr>
        <w:t>:</w:t>
      </w:r>
      <w:r w:rsidRPr="00035D6F">
        <w:rPr>
          <w:rFonts w:ascii="Tahoma" w:eastAsia="Times New Roman" w:hAnsi="Tahoma" w:cs="AGA Furat Regular"/>
          <w:color w:val="000066"/>
          <w:sz w:val="28"/>
          <w:szCs w:val="28"/>
          <w:rtl/>
          <w:lang w:eastAsia="en-GB"/>
        </w:rPr>
        <w:t xml:space="preserve">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1 – عقد فطري: مُوْثَقٌ بين العباد ورب العباد - الخالق جلَّ جلاله-، كما في قوله تعالى: (كَتَبَ رَبُّكُمْ عَلَى نَفْسِهِ الرَّحْمَةَ).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2 – عقد تكليفي: وهو الذي يرد بصيغة الأمر والنهي، قال الله تعالى: (وَأَقِيمُوا الصَّلَاةَ وَآتُوا الزَّكَاةَ وَأَطِيعُوا الرَّسُولَ لَعَلَّكُمْ تُرْحَمُونَ).</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3 – عقد عرفي: وهو ما تعارف عليه الناس في معاملاتهم بصرف النظر عن التوثيق لدى موظف مختص ليكون رسمياً، وإنما يُكْتَبُ في الوقت الحاضر لدى الدوائر الحكومية درء اً للمفاسد.</w:t>
      </w:r>
      <w:r w:rsidR="006E4F26" w:rsidRPr="00CF2FC6">
        <w:rPr>
          <w:rFonts w:ascii="Tahoma" w:eastAsia="Times New Roman" w:hAnsi="Tahoma" w:cs="AGA Furat Regular"/>
          <w:color w:val="000066"/>
          <w:sz w:val="24"/>
          <w:szCs w:val="24"/>
          <w:rtl/>
          <w:lang w:eastAsia="en-GB"/>
        </w:rPr>
        <w:br/>
      </w:r>
      <w:r w:rsidR="006E4F26"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br/>
        <w:t>- التقسيم الثاني: أنواع العقود بالنظر إلى مشروعيتها وعدمها صنفان عند الجمهور</w:t>
      </w:r>
      <w:r w:rsidR="00505D8F" w:rsidRPr="00035D6F">
        <w:rPr>
          <w:rFonts w:ascii="Tahoma" w:eastAsia="Times New Roman" w:hAnsi="Tahoma" w:cs="Al-Mujahed Free" w:hint="cs"/>
          <w:color w:val="FF0066"/>
          <w:sz w:val="28"/>
          <w:szCs w:val="28"/>
          <w:rtl/>
          <w:lang w:eastAsia="en-GB"/>
        </w:rPr>
        <w:t>:</w:t>
      </w:r>
      <w:r w:rsidRPr="00035D6F">
        <w:rPr>
          <w:rFonts w:ascii="Tahoma" w:eastAsia="Times New Roman" w:hAnsi="Tahoma" w:cs="Al-Mujahed Free"/>
          <w:color w:val="FF0066"/>
          <w:sz w:val="28"/>
          <w:szCs w:val="28"/>
          <w:rtl/>
          <w:lang w:eastAsia="en-GB"/>
        </w:rPr>
        <w:t xml:space="preserve"> </w:t>
      </w:r>
      <w:r w:rsidRPr="00035D6F">
        <w:rPr>
          <w:rFonts w:ascii="Tahoma" w:eastAsia="Times New Roman" w:hAnsi="Tahoma" w:cs="Al-Mujahed Free"/>
          <w:color w:val="FF0066"/>
          <w:sz w:val="28"/>
          <w:szCs w:val="28"/>
          <w:rtl/>
          <w:lang w:eastAsia="en-GB"/>
        </w:rPr>
        <w:br/>
      </w:r>
      <w:r w:rsidRPr="00CF2FC6">
        <w:rPr>
          <w:rFonts w:ascii="Tahoma" w:eastAsia="Times New Roman" w:hAnsi="Tahoma" w:cs="AGA Furat Regular"/>
          <w:color w:val="000066"/>
          <w:sz w:val="24"/>
          <w:szCs w:val="24"/>
          <w:rtl/>
          <w:lang w:eastAsia="en-GB"/>
        </w:rPr>
        <w:br/>
        <w:t>1 – عقود مشروعة، وهي ما أجازها الشرع الإسلامي وأَذِنَ بها؛كالبيع، والرهن، والهبة…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2 – عقود ممنوعة، وهي التي منعها الشرع الإسلامي ونهى عنها؛كبيع الأجنة في بطون أمهاتها، والبيع الربوي وغيرهما، والعقود الممنوعة تعدّ باطلة غير منعقدة أصلاً عند جمهور الفقهاء، والتصنيف نفسه عند فقهاء الحنفية ثلاثة أقسام</w:t>
      </w:r>
      <w:r w:rsidR="00505D8F" w:rsidRPr="00CF2FC6">
        <w:rPr>
          <w:rFonts w:ascii="Tahoma" w:eastAsia="Times New Roman" w:hAnsi="Tahoma" w:cs="AGA Furat Regular" w:hint="cs"/>
          <w:color w:val="000066"/>
          <w:sz w:val="24"/>
          <w:szCs w:val="24"/>
          <w:rtl/>
          <w:lang w:eastAsia="en-GB"/>
        </w:rPr>
        <w:t xml:space="preserve">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lastRenderedPageBreak/>
        <w:br/>
        <w:t>1 – عقود مشروعة: وهي ما شرعت بأصلها ووصفها.</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2 – عقود باطلة: وهي ما لم تشرع بأصلها ولا بوصفها.</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3 – عقود فاسدة: وهي ما شرعت بأصلها دون وصفها.</w:t>
      </w:r>
      <w:r w:rsidR="006E4F26" w:rsidRPr="00CF2FC6">
        <w:rPr>
          <w:rFonts w:ascii="Tahoma" w:eastAsia="Times New Roman" w:hAnsi="Tahoma" w:cs="AGA Furat Regular"/>
          <w:color w:val="000066"/>
          <w:sz w:val="24"/>
          <w:szCs w:val="24"/>
          <w:rtl/>
          <w:lang w:eastAsia="en-GB"/>
        </w:rPr>
        <w:br/>
      </w:r>
      <w:r w:rsidR="006E4F26"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32"/>
          <w:szCs w:val="32"/>
          <w:rtl/>
          <w:lang w:eastAsia="en-GB"/>
        </w:rPr>
        <w:br/>
        <w:t>- التقسيم الثالث: بالنظر إلى صحة العقد وعدمها صنفان</w:t>
      </w:r>
      <w:r w:rsidR="00505D8F" w:rsidRPr="00035D6F">
        <w:rPr>
          <w:rFonts w:ascii="Tahoma" w:eastAsia="Times New Roman" w:hAnsi="Tahoma" w:cs="Al-Mujahed Free" w:hint="cs"/>
          <w:color w:val="FF0066"/>
          <w:sz w:val="32"/>
          <w:szCs w:val="32"/>
          <w:rtl/>
          <w:lang w:eastAsia="en-GB"/>
        </w:rPr>
        <w:t xml:space="preserve"> :</w:t>
      </w:r>
      <w:r w:rsidRPr="00035D6F">
        <w:rPr>
          <w:rFonts w:ascii="Tahoma" w:eastAsia="Times New Roman" w:hAnsi="Tahoma" w:cs="Al-Mujahed Free"/>
          <w:color w:val="FF0066"/>
          <w:sz w:val="32"/>
          <w:szCs w:val="32"/>
          <w:rtl/>
          <w:lang w:eastAsia="en-GB"/>
        </w:rPr>
        <w:t xml:space="preserve">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1 – عقود صحيحة: وهي ما توافرت فيها جميع شرائطها الشرعية العامة والخاصة، في أصلها وفي نواحيها الفرعية – في أصلها ووصفها – كبيع المال المتقوم بثمن معلوم نقداً أو نسيئة.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xml:space="preserve">2 – عقود فاسدة: وهي التي اختلت بفقدان بعض شرائطها المتعلقة ببعض نواحيها الفرعية – فهي مشروعة بأصلها دون وصفها –؛ كبيع الشي بثمن مجهول.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FF0000"/>
          <w:sz w:val="24"/>
          <w:szCs w:val="24"/>
          <w:rtl/>
          <w:lang w:eastAsia="en-GB"/>
        </w:rPr>
        <w:br/>
      </w:r>
      <w:r w:rsidRPr="00035D6F">
        <w:rPr>
          <w:rFonts w:ascii="Tahoma" w:eastAsia="Times New Roman" w:hAnsi="Tahoma" w:cs="Al-Mujahed Free"/>
          <w:color w:val="FF0066"/>
          <w:sz w:val="28"/>
          <w:szCs w:val="28"/>
          <w:rtl/>
          <w:lang w:eastAsia="en-GB"/>
        </w:rPr>
        <w:t>- التقسيم الرابع: أنواع العقود بالنظر إلى تسميتها وعدمها صنفان</w:t>
      </w:r>
      <w:r w:rsidR="00505D8F" w:rsidRPr="00035D6F">
        <w:rPr>
          <w:rFonts w:ascii="Tahoma" w:eastAsia="Times New Roman" w:hAnsi="Tahoma" w:cs="Al-Mujahed Free" w:hint="cs"/>
          <w:color w:val="FF0066"/>
          <w:sz w:val="28"/>
          <w:szCs w:val="28"/>
          <w:rtl/>
          <w:lang w:eastAsia="en-GB"/>
        </w:rPr>
        <w:t xml:space="preserve"> :</w:t>
      </w:r>
      <w:r w:rsidRPr="00035D6F">
        <w:rPr>
          <w:rFonts w:ascii="Tahoma" w:eastAsia="Times New Roman" w:hAnsi="Tahoma" w:cs="AGA Furat Regular"/>
          <w:color w:val="000066"/>
          <w:sz w:val="28"/>
          <w:szCs w:val="28"/>
          <w:rtl/>
          <w:lang w:eastAsia="en-GB"/>
        </w:rPr>
        <w:t xml:space="preserve">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1 – عقود مسماة: هي التي أقرَّ التشريع لها اسماً يدل على موضوعها الخاص، وأحكاماً أصلية تترتب على انعقادها؛ كالبيع والهبة والإجارة والشركة…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2 – عقود غير مسماة: هي التي لم يُصطلَح على اسم خاص لموضوعها، ولم يُرَتِّب التشريع لها أحكاماً تخصها، وهي كثيرة لا تنحصر، وتتنوع بحسب حاجة العاقد والموضوع المتفق عليه ضمن الغايات المشروعة</w:t>
      </w:r>
      <w:r w:rsidR="00505D8F" w:rsidRPr="00CF2FC6">
        <w:rPr>
          <w:rFonts w:ascii="Tahoma" w:eastAsia="Times New Roman" w:hAnsi="Tahoma" w:cs="AGA Furat Regular" w:hint="cs"/>
          <w:color w:val="000066"/>
          <w:sz w:val="24"/>
          <w:szCs w:val="24"/>
          <w:rtl/>
          <w:lang w:eastAsia="en-GB"/>
        </w:rPr>
        <w:t xml:space="preserve"> </w:t>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وقد نشأت في الفقه الإسلامي عقود جديدة في عصور مختلفة، وأطلق عليها الفقهاء أسماء خاصة، وقرروا أحكامها، فأصبحت عقوداً مسماة، وقد تبقى بعض العقود زمناً بلا أسماء إلى أن يُصطلح لها على اسمٍ خاص.</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وثمرةُ تسميةِ العقود تسهيليةٌ محضةٌ، بحيث تُسَهِّل على الناس تعاملهم، إذ إن العقدَ المسمى كثيرُ الشيوع بين الناس في معاملاتهم، فيكون له في التشريع نصوص تُفَصِّل أحكامه؛ ليسهل الرجوع إليه.</w:t>
      </w:r>
      <w:r w:rsidRPr="00CF2FC6">
        <w:rPr>
          <w:rFonts w:ascii="Tahoma" w:eastAsia="Times New Roman" w:hAnsi="Tahoma" w:cs="AGA Furat Regular"/>
          <w:color w:val="000066"/>
          <w:sz w:val="24"/>
          <w:szCs w:val="24"/>
          <w:rtl/>
          <w:lang w:eastAsia="en-GB"/>
        </w:rPr>
        <w:br/>
      </w:r>
    </w:p>
    <w:p w:rsidR="00897D9F" w:rsidRDefault="00897D9F" w:rsidP="00897D9F">
      <w:pPr>
        <w:bidi/>
        <w:spacing w:after="0" w:line="240" w:lineRule="auto"/>
        <w:ind w:left="567" w:right="567"/>
        <w:rPr>
          <w:rFonts w:ascii="Tahoma" w:eastAsia="Times New Roman" w:hAnsi="Tahoma" w:cs="Al-Mujahed Free"/>
          <w:color w:val="FF0066"/>
          <w:sz w:val="28"/>
          <w:szCs w:val="28"/>
          <w:rtl/>
          <w:lang w:eastAsia="en-GB"/>
        </w:rPr>
      </w:pPr>
    </w:p>
    <w:p w:rsidR="00897D9F" w:rsidRDefault="00897D9F" w:rsidP="00897D9F">
      <w:pPr>
        <w:bidi/>
        <w:spacing w:after="0" w:line="240" w:lineRule="auto"/>
        <w:ind w:left="567" w:right="567"/>
        <w:rPr>
          <w:rFonts w:ascii="Tahoma" w:eastAsia="Times New Roman" w:hAnsi="Tahoma" w:cs="Al-Mujahed Free"/>
          <w:color w:val="FF0066"/>
          <w:sz w:val="28"/>
          <w:szCs w:val="28"/>
          <w:rtl/>
          <w:lang w:eastAsia="en-GB"/>
        </w:rPr>
      </w:pPr>
    </w:p>
    <w:p w:rsidR="00505D8F" w:rsidRPr="00CF2FC6" w:rsidRDefault="00530BF2" w:rsidP="00E55910">
      <w:pPr>
        <w:bidi/>
        <w:spacing w:after="0" w:line="240" w:lineRule="auto"/>
        <w:ind w:left="567" w:right="567"/>
        <w:rPr>
          <w:rFonts w:ascii="Tahoma" w:eastAsia="Times New Roman" w:hAnsi="Tahoma" w:cs="AGA Furat Regular"/>
          <w:color w:val="000066"/>
          <w:sz w:val="24"/>
          <w:szCs w:val="24"/>
          <w:rtl/>
          <w:lang w:eastAsia="en-GB"/>
        </w:rPr>
      </w:pPr>
      <w:r w:rsidRPr="00035D6F">
        <w:rPr>
          <w:rFonts w:ascii="Tahoma" w:eastAsia="Times New Roman" w:hAnsi="Tahoma" w:cs="Al-Mujahed Free"/>
          <w:color w:val="FF0066"/>
          <w:sz w:val="28"/>
          <w:szCs w:val="28"/>
          <w:rtl/>
          <w:lang w:eastAsia="en-GB"/>
        </w:rPr>
        <w:br/>
      </w:r>
      <w:r w:rsidRPr="00035D6F">
        <w:rPr>
          <w:rFonts w:ascii="Tahoma" w:eastAsia="Times New Roman" w:hAnsi="Tahoma" w:cs="Al-Mujahed Free"/>
          <w:color w:val="FF0066"/>
          <w:sz w:val="28"/>
          <w:szCs w:val="28"/>
          <w:rtl/>
          <w:lang w:eastAsia="en-GB"/>
        </w:rPr>
        <w:br/>
      </w:r>
      <w:r w:rsidRPr="00035D6F">
        <w:rPr>
          <w:rFonts w:ascii="Tahoma" w:eastAsia="Times New Roman" w:hAnsi="Tahoma" w:cs="Al-Mujahed Free"/>
          <w:color w:val="FF0066"/>
          <w:sz w:val="28"/>
          <w:szCs w:val="28"/>
          <w:rtl/>
          <w:lang w:eastAsia="en-GB"/>
        </w:rPr>
        <w:lastRenderedPageBreak/>
        <w:t>- التقسيم الخامس: أنواع العقود بالنظر إلى محلها-المعقود عليه-خمسة أصناف تبعاً للقانون المدني السوري والمصري، وقد جاراهما القانون المدني الأردني</w:t>
      </w:r>
      <w:r w:rsidR="00505D8F" w:rsidRPr="00035D6F">
        <w:rPr>
          <w:rFonts w:ascii="Tahoma" w:eastAsia="Times New Roman" w:hAnsi="Tahoma" w:cs="Al-Mujahed Free" w:hint="cs"/>
          <w:color w:val="FF0066"/>
          <w:sz w:val="28"/>
          <w:szCs w:val="28"/>
          <w:rtl/>
          <w:lang w:eastAsia="en-GB"/>
        </w:rPr>
        <w:t xml:space="preserve"> </w:t>
      </w:r>
      <w:r w:rsidRPr="00035D6F">
        <w:rPr>
          <w:rFonts w:ascii="Tahoma" w:eastAsia="Times New Roman" w:hAnsi="Tahoma" w:cs="Al-Mujahed Free"/>
          <w:color w:val="FF0066"/>
          <w:sz w:val="28"/>
          <w:szCs w:val="28"/>
          <w:rtl/>
          <w:lang w:eastAsia="en-GB"/>
        </w:rPr>
        <w:t>:</w:t>
      </w:r>
      <w:r w:rsidRPr="00035D6F">
        <w:rPr>
          <w:rFonts w:ascii="Tahoma" w:eastAsia="Times New Roman" w:hAnsi="Tahoma" w:cs="Al-Mujahed Free"/>
          <w:color w:val="FF0066"/>
          <w:sz w:val="28"/>
          <w:szCs w:val="28"/>
          <w:rtl/>
          <w:lang w:eastAsia="en-GB"/>
        </w:rPr>
        <w:br/>
      </w:r>
      <w:r w:rsidRPr="00CF2FC6">
        <w:rPr>
          <w:rFonts w:ascii="Tahoma" w:eastAsia="Times New Roman" w:hAnsi="Tahoma" w:cs="AGA Furat Regular"/>
          <w:color w:val="000066"/>
          <w:sz w:val="24"/>
          <w:szCs w:val="24"/>
          <w:rtl/>
          <w:lang w:eastAsia="en-GB"/>
        </w:rPr>
        <w:br/>
        <w:t>1- العقود التي تقع على الملكية، وتشمل: البيع والمقايضة والهبة والشركة والقرض والدخل الدائم والصلح</w:t>
      </w:r>
      <w:r w:rsidR="00505D8F" w:rsidRPr="00CF2FC6">
        <w:rPr>
          <w:rFonts w:ascii="Tahoma" w:eastAsia="Times New Roman" w:hAnsi="Tahoma" w:cs="AGA Furat Regular" w:hint="cs"/>
          <w:color w:val="000066"/>
          <w:sz w:val="24"/>
          <w:szCs w:val="24"/>
          <w:rtl/>
          <w:lang w:eastAsia="en-GB"/>
        </w:rPr>
        <w:t xml:space="preserve"> </w:t>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2- العقود الواردة على الانتفاع بالشيء، وتشمل: عقد الإيجار، بما فيه المزارعة، والوقف، والعارية</w:t>
      </w:r>
      <w:r w:rsidR="00505D8F" w:rsidRPr="00CF2FC6">
        <w:rPr>
          <w:rFonts w:ascii="Tahoma" w:eastAsia="Times New Roman" w:hAnsi="Tahoma" w:cs="AGA Furat Regular" w:hint="cs"/>
          <w:color w:val="000066"/>
          <w:sz w:val="24"/>
          <w:szCs w:val="24"/>
          <w:rtl/>
          <w:lang w:eastAsia="en-GB"/>
        </w:rPr>
        <w:t xml:space="preserve"> </w:t>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3- العقود الواردة على العمل، وتشمل: عقد المقاولة، وعقد العمل، والوكالة، والوديعة، والحراسة</w:t>
      </w:r>
      <w:r w:rsidR="00505D8F" w:rsidRPr="00CF2FC6">
        <w:rPr>
          <w:rFonts w:ascii="Tahoma" w:eastAsia="Times New Roman" w:hAnsi="Tahoma" w:cs="AGA Furat Regular" w:hint="cs"/>
          <w:color w:val="000066"/>
          <w:sz w:val="24"/>
          <w:szCs w:val="24"/>
          <w:rtl/>
          <w:lang w:eastAsia="en-GB"/>
        </w:rPr>
        <w:t xml:space="preserve"> </w:t>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4- عقود الغرر، وتشمل: المقامرة، والرهان، والمرتب مدى الحياة، وعقد التأمين</w:t>
      </w:r>
      <w:r w:rsidR="00505D8F" w:rsidRPr="00CF2FC6">
        <w:rPr>
          <w:rFonts w:ascii="Tahoma" w:eastAsia="Times New Roman" w:hAnsi="Tahoma" w:cs="AGA Furat Regular" w:hint="cs"/>
          <w:color w:val="000066"/>
          <w:sz w:val="24"/>
          <w:szCs w:val="24"/>
          <w:rtl/>
          <w:lang w:eastAsia="en-GB"/>
        </w:rPr>
        <w:t xml:space="preserve"> </w:t>
      </w:r>
      <w:r w:rsidRPr="00CF2FC6">
        <w:rPr>
          <w:rFonts w:ascii="Tahoma" w:eastAsia="Times New Roman" w:hAnsi="Tahoma" w:cs="AGA Furat Regular"/>
          <w:color w:val="000066"/>
          <w:sz w:val="24"/>
          <w:szCs w:val="24"/>
          <w:rtl/>
          <w:lang w:eastAsia="en-GB"/>
        </w:rPr>
        <w:t>.</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5- الكفالة.</w:t>
      </w:r>
      <w:r w:rsidR="00E55910">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ويضاف إلى هذه الأقسام الخمسة أمران:</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1- عقد الحوالة.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2- عقد الرهن.</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ويُذْكَر أن ترتيب العقود في الفقه الإسلامي كان ترتيباً كيفياً في كتب الفقه، تبعاً لرغبة المصنف، ويكاد الفقهاء يُجمِعُون على البدء بعقد البيع؛ نظراً لأهميته، وكثرة استعماله، وشيوع انتشاره، ومزيد الحاجة إليه.</w:t>
      </w:r>
      <w:r w:rsidR="006E4F26" w:rsidRPr="00CF2FC6">
        <w:rPr>
          <w:rFonts w:ascii="Tahoma" w:eastAsia="Times New Roman" w:hAnsi="Tahoma" w:cs="AGA Furat Regular"/>
          <w:color w:val="000066"/>
          <w:sz w:val="24"/>
          <w:szCs w:val="24"/>
          <w:rtl/>
          <w:lang w:eastAsia="en-GB"/>
        </w:rPr>
        <w:br/>
      </w:r>
      <w:r w:rsidR="006E4F26"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t xml:space="preserve">- التقسيم السادس:أنواع العقود من حيث التكوين صنفان: </w:t>
      </w:r>
      <w:r w:rsidRPr="00035D6F">
        <w:rPr>
          <w:rFonts w:ascii="Tahoma" w:eastAsia="Times New Roman" w:hAnsi="Tahoma" w:cs="Al-Mujahed Free"/>
          <w:color w:val="FF0066"/>
          <w:sz w:val="28"/>
          <w:szCs w:val="28"/>
          <w:rtl/>
          <w:lang w:eastAsia="en-GB"/>
        </w:rPr>
        <w:br/>
      </w:r>
      <w:r w:rsidRPr="00035D6F">
        <w:rPr>
          <w:rFonts w:ascii="Tahoma" w:eastAsia="Times New Roman" w:hAnsi="Tahoma" w:cs="Al-Mujahed Free"/>
          <w:color w:val="FF0066"/>
          <w:sz w:val="28"/>
          <w:szCs w:val="28"/>
          <w:rtl/>
          <w:lang w:eastAsia="en-GB"/>
        </w:rPr>
        <w:br/>
      </w:r>
      <w:r w:rsidRPr="00CF2FC6">
        <w:rPr>
          <w:rFonts w:ascii="Tahoma" w:eastAsia="Times New Roman" w:hAnsi="Tahoma" w:cs="AGA Furat Regular"/>
          <w:color w:val="000066"/>
          <w:sz w:val="24"/>
          <w:szCs w:val="24"/>
          <w:rtl/>
          <w:lang w:eastAsia="en-GB"/>
        </w:rPr>
        <w:t>1 – عقود شكلية: تخضع في عقدها لشيء من الشرائط الشكلية، وتُعَدُّّ الأعمال المصرفية والمعاملات والعقود فيها لها أشكال معينة ونماذج خاصة، وإجراءات محددة.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2 – عقود رضائية غير شكلية: وهي التي لا تخضع في انعقادها إلا لمجرد التراضي، وهي عقود كثيرة يستعملها الناس، وغالباً ما تكون في المسائل المالية العادية ذات الأثمان المتوسطة وما دون.</w:t>
      </w:r>
      <w:r w:rsidR="006E4F26"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t>- التقسيم السابع: أنواع العقود بالنظر إلى النفاذ صنفان</w:t>
      </w:r>
      <w:r w:rsidR="00505D8F" w:rsidRPr="00035D6F">
        <w:rPr>
          <w:rFonts w:ascii="Tahoma" w:eastAsia="Times New Roman" w:hAnsi="Tahoma" w:cs="Al-Mujahed Free" w:hint="cs"/>
          <w:color w:val="FF0066"/>
          <w:sz w:val="28"/>
          <w:szCs w:val="28"/>
          <w:rtl/>
          <w:lang w:eastAsia="en-GB"/>
        </w:rPr>
        <w:t xml:space="preserve"> </w:t>
      </w:r>
      <w:r w:rsidRPr="00035D6F">
        <w:rPr>
          <w:rFonts w:ascii="Tahoma" w:eastAsia="Times New Roman" w:hAnsi="Tahoma" w:cs="Al-Mujahed Free"/>
          <w:color w:val="FF0066"/>
          <w:sz w:val="28"/>
          <w:szCs w:val="28"/>
          <w:rtl/>
          <w:lang w:eastAsia="en-GB"/>
        </w:rPr>
        <w:t xml:space="preserve">: </w:t>
      </w:r>
      <w:r w:rsidRPr="00035D6F">
        <w:rPr>
          <w:rFonts w:ascii="Tahoma" w:eastAsia="Times New Roman" w:hAnsi="Tahoma" w:cs="Al-Mujahed Free"/>
          <w:color w:val="FF0066"/>
          <w:sz w:val="28"/>
          <w:szCs w:val="28"/>
          <w:rtl/>
          <w:lang w:eastAsia="en-GB"/>
        </w:rPr>
        <w:br/>
      </w:r>
      <w:r w:rsidRPr="00CF2FC6">
        <w:rPr>
          <w:rFonts w:ascii="Tahoma" w:eastAsia="Times New Roman" w:hAnsi="Tahoma" w:cs="AGA Furat Regular"/>
          <w:color w:val="FF0000"/>
          <w:sz w:val="24"/>
          <w:szCs w:val="24"/>
          <w:rtl/>
          <w:lang w:eastAsia="en-GB"/>
        </w:rPr>
        <w:br/>
      </w:r>
      <w:r w:rsidRPr="00CF2FC6">
        <w:rPr>
          <w:rFonts w:ascii="Tahoma" w:eastAsia="Times New Roman" w:hAnsi="Tahoma" w:cs="AGA Furat Regular"/>
          <w:color w:val="000066"/>
          <w:sz w:val="24"/>
          <w:szCs w:val="24"/>
          <w:rtl/>
          <w:lang w:eastAsia="en-GB"/>
        </w:rPr>
        <w:t>1 – عقود نافذة: وهي العقود التي صدرت من كامل الأهلية، وخالية من كل حق لغير العاقدين يوجب توقفها على إرادته.</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lastRenderedPageBreak/>
        <w:br/>
        <w:t>2 – عقود موقوفة: وهي التي تصدر من ناقص الأهلية، وتحوي حقاً لغير العاقدين يوجب توقفها على إرادة الآخر وإجازته.</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t>- التقسيم الثامن: أنواع العقود بالنظر إلى اللزوم وقابلية الفسخ أربعة أصناف</w:t>
      </w:r>
      <w:r w:rsidR="00505D8F" w:rsidRPr="00035D6F">
        <w:rPr>
          <w:rFonts w:ascii="Tahoma" w:eastAsia="Times New Roman" w:hAnsi="Tahoma" w:cs="Al-Mujahed Free" w:hint="cs"/>
          <w:color w:val="FF0066"/>
          <w:sz w:val="28"/>
          <w:szCs w:val="28"/>
          <w:rtl/>
          <w:lang w:eastAsia="en-GB"/>
        </w:rPr>
        <w:t xml:space="preserve"> </w:t>
      </w:r>
      <w:r w:rsidRPr="00035D6F">
        <w:rPr>
          <w:rFonts w:ascii="Tahoma" w:eastAsia="Times New Roman" w:hAnsi="Tahoma" w:cs="Al-Mujahed Free"/>
          <w:color w:val="FF0066"/>
          <w:sz w:val="28"/>
          <w:szCs w:val="28"/>
          <w:rtl/>
          <w:lang w:eastAsia="en-GB"/>
        </w:rPr>
        <w:t>:</w:t>
      </w:r>
      <w:r w:rsidRPr="00035D6F">
        <w:rPr>
          <w:rFonts w:ascii="Tahoma" w:eastAsia="Times New Roman" w:hAnsi="Tahoma" w:cs="AGA Furat Regular"/>
          <w:color w:val="FF0000"/>
          <w:sz w:val="28"/>
          <w:szCs w:val="28"/>
          <w:rtl/>
          <w:lang w:eastAsia="en-GB"/>
        </w:rPr>
        <w:t xml:space="preserve"> </w:t>
      </w:r>
      <w:r w:rsidRPr="00CF2FC6">
        <w:rPr>
          <w:rFonts w:ascii="Tahoma" w:eastAsia="Times New Roman" w:hAnsi="Tahoma" w:cs="AGA Furat Regular"/>
          <w:color w:val="FF0000"/>
          <w:sz w:val="24"/>
          <w:szCs w:val="24"/>
          <w:rtl/>
          <w:lang w:eastAsia="en-GB"/>
        </w:rPr>
        <w:br/>
      </w:r>
      <w:r w:rsidRPr="00CF2FC6">
        <w:rPr>
          <w:rFonts w:ascii="Tahoma" w:eastAsia="Times New Roman" w:hAnsi="Tahoma" w:cs="AGA Furat Regular"/>
          <w:color w:val="FF0000"/>
          <w:sz w:val="24"/>
          <w:szCs w:val="24"/>
          <w:rtl/>
          <w:lang w:eastAsia="en-GB"/>
        </w:rPr>
        <w:br/>
      </w:r>
      <w:r w:rsidRPr="00CF2FC6">
        <w:rPr>
          <w:rFonts w:ascii="Tahoma" w:eastAsia="Times New Roman" w:hAnsi="Tahoma" w:cs="AGA Furat Regular"/>
          <w:color w:val="000066"/>
          <w:sz w:val="24"/>
          <w:szCs w:val="24"/>
          <w:rtl/>
          <w:lang w:eastAsia="en-GB"/>
        </w:rPr>
        <w:t>1 – عقد لازم بحق الطرفين، ولا يقبل الفسخ بطريق الإقالة، وهو عقد الزواج.</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2 – عقود لازمة بحق الطرفين، ولكنها تقبل الفسخ والإلغاء بطريق الإقالة أي باتفاق العاقدين، كالبيع والإجارة…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3 – عقود لازمة بحق أحد الطرفين فقط، كالرهن والكفالة؛ فإنهما لازمان بالنسبة إلى الراهن والكفيل، وغير لازمين بالنسبة إلى الدائن المرتهن والمكفول له.</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4 - عقود غير لازمة أصلاً بحق كلا الطرفين، وهي التي يملك كل منهما فيها حق الرجوع والإلغاء، كالإيداع والإعارة والوكالة.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FF0000"/>
          <w:sz w:val="24"/>
          <w:szCs w:val="24"/>
          <w:rtl/>
          <w:lang w:eastAsia="en-GB"/>
        </w:rPr>
        <w:br/>
      </w:r>
      <w:r w:rsidRPr="00035D6F">
        <w:rPr>
          <w:rFonts w:ascii="Tahoma" w:eastAsia="Times New Roman" w:hAnsi="Tahoma" w:cs="Al-Mujahed Free"/>
          <w:color w:val="FF0066"/>
          <w:sz w:val="28"/>
          <w:szCs w:val="28"/>
          <w:rtl/>
          <w:lang w:eastAsia="en-GB"/>
        </w:rPr>
        <w:t>- التقسيم التاسع: بالنظر إلى تبادل الحقوق ثلاثة أصناف:</w:t>
      </w:r>
      <w:r w:rsidRPr="00035D6F">
        <w:rPr>
          <w:rFonts w:ascii="Tahoma" w:eastAsia="Times New Roman" w:hAnsi="Tahoma" w:cs="AGA Furat Regular"/>
          <w:color w:val="000066"/>
          <w:sz w:val="28"/>
          <w:szCs w:val="28"/>
          <w:rtl/>
          <w:lang w:eastAsia="en-GB"/>
        </w:rPr>
        <w:t xml:space="preserve">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1 – عقود المعاوضات: وهي التي تقوم على أساس إنشاء وجائب متقابلة بين العاقدين يأخذ فيها كل من الطرفين شيئاً ويعطي في مقابله شيئاً؛ وذلك كالبيع والإجارة.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2 – عقود التبرعات: وهي التي تقوم على أساس المنحة أو المعونة من أحد الطرفين للآخر؛ كالهبة والإعارة.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3 – عقود تحوي معنى التبرع ابتداءً، والمعاوضة انتهاءً؛كالقرض، والكفالة بأمر المدين…</w:t>
      </w:r>
      <w:r w:rsidR="006E4F26" w:rsidRPr="00CF2FC6">
        <w:rPr>
          <w:rFonts w:ascii="Tahoma" w:eastAsia="Times New Roman" w:hAnsi="Tahoma" w:cs="AGA Furat Regular"/>
          <w:color w:val="000066"/>
          <w:sz w:val="24"/>
          <w:szCs w:val="24"/>
          <w:rtl/>
          <w:lang w:eastAsia="en-GB"/>
        </w:rPr>
        <w:br/>
      </w:r>
      <w:r w:rsidR="006E4F26" w:rsidRPr="00035D6F">
        <w:rPr>
          <w:rFonts w:ascii="Tahoma" w:eastAsia="Times New Roman" w:hAnsi="Tahoma" w:cs="Al-Mujahed Free"/>
          <w:color w:val="FF0066"/>
          <w:sz w:val="28"/>
          <w:szCs w:val="28"/>
          <w:rtl/>
          <w:lang w:eastAsia="en-GB"/>
        </w:rPr>
        <w:br/>
      </w:r>
      <w:r w:rsidRPr="00035D6F">
        <w:rPr>
          <w:rFonts w:ascii="Tahoma" w:eastAsia="Times New Roman" w:hAnsi="Tahoma" w:cs="Al-Mujahed Free"/>
          <w:color w:val="FF0066"/>
          <w:sz w:val="28"/>
          <w:szCs w:val="28"/>
          <w:rtl/>
          <w:lang w:eastAsia="en-GB"/>
        </w:rPr>
        <w:br/>
        <w:t>- التقسيم العاشر: بالنظر إلى الضمان وعدمه ثلاثة أصناف</w:t>
      </w:r>
      <w:r w:rsidR="00505D8F" w:rsidRPr="00035D6F">
        <w:rPr>
          <w:rFonts w:ascii="Tahoma" w:eastAsia="Times New Roman" w:hAnsi="Tahoma" w:cs="Al-Mujahed Free" w:hint="cs"/>
          <w:color w:val="FF0066"/>
          <w:sz w:val="28"/>
          <w:szCs w:val="28"/>
          <w:rtl/>
          <w:lang w:eastAsia="en-GB"/>
        </w:rPr>
        <w:t xml:space="preserve"> :</w:t>
      </w:r>
      <w:r w:rsidRPr="00035D6F">
        <w:rPr>
          <w:rFonts w:ascii="Tahoma" w:eastAsia="Times New Roman" w:hAnsi="Tahoma" w:cs="Al-Mujahed Free"/>
          <w:color w:val="FF0066"/>
          <w:sz w:val="28"/>
          <w:szCs w:val="28"/>
          <w:rtl/>
          <w:lang w:eastAsia="en-GB"/>
        </w:rPr>
        <w:t xml:space="preserve"> </w:t>
      </w:r>
      <w:r w:rsidRPr="00035D6F">
        <w:rPr>
          <w:rFonts w:ascii="Tahoma" w:eastAsia="Times New Roman" w:hAnsi="Tahoma" w:cs="Al-Mujahed Free"/>
          <w:color w:val="FF0066"/>
          <w:sz w:val="28"/>
          <w:szCs w:val="28"/>
          <w:rtl/>
          <w:lang w:eastAsia="en-GB"/>
        </w:rPr>
        <w:br/>
      </w:r>
      <w:r w:rsidRPr="00CF2FC6">
        <w:rPr>
          <w:rFonts w:ascii="Tahoma" w:eastAsia="Times New Roman" w:hAnsi="Tahoma" w:cs="AGA Furat Regular"/>
          <w:color w:val="000066"/>
          <w:sz w:val="24"/>
          <w:szCs w:val="24"/>
          <w:rtl/>
          <w:lang w:eastAsia="en-GB"/>
        </w:rPr>
        <w:br/>
        <w:t>1 – عقود ضمان: وهي التي يُعتبر المال المنتقل، بناء على تنفيذها، من يد إلى يد مضموناً على الطرف القابض له، فمهما يصبه من تلف فما دونه، ولو بآفة سماوية، يكن على مسؤوليته وحسابه،ومن هذه العقود: البيع، والقرض…</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xml:space="preserve">2 – عقود أمانة: وهي التي يكون المال المقبوض في تنفيذها أمانة في يد قابضه لحساب صاحبه، فلا يكون القابض مسؤولاً عما يصيبه من تلف فما دونه إلا إذا تعدى عليه أو قصّر في حفظه، من هذه العقود: الإيداع، والإعارة، </w:t>
      </w:r>
      <w:r w:rsidRPr="00CF2FC6">
        <w:rPr>
          <w:rFonts w:ascii="Tahoma" w:eastAsia="Times New Roman" w:hAnsi="Tahoma" w:cs="AGA Furat Regular"/>
          <w:color w:val="000066"/>
          <w:sz w:val="24"/>
          <w:szCs w:val="24"/>
          <w:rtl/>
          <w:lang w:eastAsia="en-GB"/>
        </w:rPr>
        <w:lastRenderedPageBreak/>
        <w:t>والوكالة، والشركة…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3 – عقود مزدوجة الأثر: إذ تُنْشِئُ الضمان من وجه، والأمانة من وجه، من هذه العقود: الإجارة، والرهن.</w:t>
      </w:r>
      <w:r w:rsidR="006E4F26"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br/>
        <w:t>- التقسيم الحادي عشر: بالنظر إلى غاية العقد سبعة أصناف</w:t>
      </w:r>
      <w:r w:rsidR="00505D8F" w:rsidRPr="00035D6F">
        <w:rPr>
          <w:rFonts w:ascii="Tahoma" w:eastAsia="Times New Roman" w:hAnsi="Tahoma" w:cs="Al-Mujahed Free" w:hint="cs"/>
          <w:color w:val="FF0066"/>
          <w:sz w:val="28"/>
          <w:szCs w:val="28"/>
          <w:rtl/>
          <w:lang w:eastAsia="en-GB"/>
        </w:rPr>
        <w:t>:</w:t>
      </w:r>
      <w:r w:rsidRPr="00035D6F">
        <w:rPr>
          <w:rFonts w:ascii="Tahoma" w:eastAsia="Times New Roman" w:hAnsi="Tahoma" w:cs="Al-Mujahed Free"/>
          <w:color w:val="FF0066"/>
          <w:sz w:val="28"/>
          <w:szCs w:val="28"/>
          <w:rtl/>
          <w:lang w:eastAsia="en-GB"/>
        </w:rPr>
        <w:br/>
      </w:r>
      <w:r w:rsidRPr="00CF2FC6">
        <w:rPr>
          <w:rFonts w:ascii="Tahoma" w:eastAsia="Times New Roman" w:hAnsi="Tahoma" w:cs="AGA Furat Regular"/>
          <w:color w:val="000066"/>
          <w:sz w:val="24"/>
          <w:szCs w:val="24"/>
          <w:rtl/>
          <w:lang w:eastAsia="en-GB"/>
        </w:rPr>
        <w:br/>
        <w:t>1 – التمليكات، وهي ما يقصد بها تمليك شئٍ، عين أو منفعة، فإن كان التمليك بعوض فهي عقود المعاوضات؛كالبيع والإجارة…، وإن كان التمليك مجاناً بغير عوض فهي عقود التبرعات؛كالهبة والوقف…</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2 – الإسقاطات: وهي ما يقصد بها إسقاط حق من الحقوق، فإن كان الإسقاط بدون بدل من الطرف الآخر فهو الإسقاط المحض؛كالإبراء عن الدَين، والتنازل عن حق الشفعة.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 وإن كان الإسقاط ببدل أو عوض من الطرف الآخر، فهو إسقاط المعاوضة؛ كالصلح في الدين والعفو عن القصاص بالدية.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3 – الإطلاقات، هي إطلاق الشخص يد غيره في العمل؛كالوكالة والإذن للصغير المميز بالتجارة.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4 – التقييدات، هي منع الشخص من التصرف؛ كعزل الوكيل، والحجر على المأذون بالتجارة؛ بسبب الجنون أو العته أو السفه أو الصغر.</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5 – التوثيقات، وهي التي يقصد بها ضمان الديون لأصحابها،وتأمين الدائن على دينه، وهي الكفالة والحوالة والرهن، وتسمى هذه العقود (التأمينات أو عقود الضمان).</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6 – الاشتراك، وهي التي يقصد بها المشاركة في المال والعمل والربح؛كعقود الشركات بأنواعها، ومنها المضاربة والمزارعة والمساقاة.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7 – الحفظ، وهي التي يراد منها حفظ المال لصاحبه؛كعقد الإيداع، وبعض خصائص الوكالة.</w:t>
      </w:r>
      <w:r w:rsidR="006E4F26"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t>- التقسيم الثاني عشر: بالنظر إلى الفورية والاستمرار صنفان</w:t>
      </w:r>
      <w:r w:rsidR="00505D8F" w:rsidRPr="00035D6F">
        <w:rPr>
          <w:rFonts w:ascii="Tahoma" w:eastAsia="Times New Roman" w:hAnsi="Tahoma" w:cs="Al-Mujahed Free" w:hint="cs"/>
          <w:color w:val="FF0066"/>
          <w:sz w:val="28"/>
          <w:szCs w:val="28"/>
          <w:rtl/>
          <w:lang w:eastAsia="en-GB"/>
        </w:rPr>
        <w:t xml:space="preserve"> </w:t>
      </w:r>
      <w:r w:rsidRPr="00035D6F">
        <w:rPr>
          <w:rFonts w:ascii="Tahoma" w:eastAsia="Times New Roman" w:hAnsi="Tahoma" w:cs="Al-Mujahed Free"/>
          <w:color w:val="FF0066"/>
          <w:sz w:val="28"/>
          <w:szCs w:val="28"/>
          <w:rtl/>
          <w:lang w:eastAsia="en-GB"/>
        </w:rPr>
        <w:t xml:space="preserve">: </w:t>
      </w:r>
      <w:r w:rsidRPr="00035D6F">
        <w:rPr>
          <w:rFonts w:ascii="Tahoma" w:eastAsia="Times New Roman" w:hAnsi="Tahoma" w:cs="Al-Mujahed Free"/>
          <w:color w:val="FF0066"/>
          <w:sz w:val="28"/>
          <w:szCs w:val="28"/>
          <w:rtl/>
          <w:lang w:eastAsia="en-GB"/>
        </w:rPr>
        <w:br/>
      </w:r>
      <w:r w:rsidRPr="00CF2FC6">
        <w:rPr>
          <w:rFonts w:ascii="Tahoma" w:eastAsia="Times New Roman" w:hAnsi="Tahoma" w:cs="AGA Furat Regular"/>
          <w:color w:val="FF0000"/>
          <w:sz w:val="24"/>
          <w:szCs w:val="24"/>
          <w:rtl/>
          <w:lang w:eastAsia="en-GB"/>
        </w:rPr>
        <w:br/>
      </w:r>
      <w:r w:rsidRPr="00CF2FC6">
        <w:rPr>
          <w:rFonts w:ascii="Tahoma" w:eastAsia="Times New Roman" w:hAnsi="Tahoma" w:cs="AGA Furat Regular"/>
          <w:color w:val="000066"/>
          <w:sz w:val="24"/>
          <w:szCs w:val="24"/>
          <w:rtl/>
          <w:lang w:eastAsia="en-GB"/>
        </w:rPr>
        <w:t>1 – عقود فورية، وهي التي لا يحتاج تنفيذها إلى زمن ممتد يشغله باستمرار؛ بل يتم تنفيذها فوراً دفعة واحدة في الوقت الذي يختاره العاقدان؛كالبيع ولو بثمن مؤجل، والقرض، والهبة.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2 – عقود مستمرة، وهي التي يستغرق تنفيذها مدة ممتدة من الزمن، بحيث يكون الزمن عنصراً أساسياً في تنفيذها؛كالإجارة، والإعارة، والوكالة، وعقود التوريد، ويمكن تسميتها عقوداً زمنية.</w:t>
      </w:r>
      <w:r w:rsidRPr="00035D6F">
        <w:rPr>
          <w:rFonts w:ascii="Tahoma" w:eastAsia="Times New Roman" w:hAnsi="Tahoma" w:cs="Al-Mujahed Free"/>
          <w:color w:val="FF0066"/>
          <w:sz w:val="28"/>
          <w:szCs w:val="28"/>
          <w:rtl/>
          <w:lang w:eastAsia="en-GB"/>
        </w:rPr>
        <w:br/>
      </w:r>
      <w:r w:rsidRPr="00035D6F">
        <w:rPr>
          <w:rFonts w:ascii="Tahoma" w:eastAsia="Times New Roman" w:hAnsi="Tahoma" w:cs="Al-Mujahed Free"/>
          <w:color w:val="FF0066"/>
          <w:sz w:val="28"/>
          <w:szCs w:val="28"/>
          <w:rtl/>
          <w:lang w:eastAsia="en-GB"/>
        </w:rPr>
        <w:lastRenderedPageBreak/>
        <w:t>- التقسيم الثالث عشر: بالنظر إلى الأصلية والتبعية صنفان</w:t>
      </w:r>
      <w:r w:rsidR="00505D8F" w:rsidRPr="00035D6F">
        <w:rPr>
          <w:rFonts w:ascii="Tahoma" w:eastAsia="Times New Roman" w:hAnsi="Tahoma" w:cs="Al-Mujahed Free" w:hint="cs"/>
          <w:color w:val="FF0066"/>
          <w:sz w:val="28"/>
          <w:szCs w:val="28"/>
          <w:rtl/>
          <w:lang w:eastAsia="en-GB"/>
        </w:rPr>
        <w:t xml:space="preserve"> </w:t>
      </w:r>
      <w:r w:rsidRPr="00035D6F">
        <w:rPr>
          <w:rFonts w:ascii="Tahoma" w:eastAsia="Times New Roman" w:hAnsi="Tahoma" w:cs="Al-Mujahed Free"/>
          <w:color w:val="FF0066"/>
          <w:sz w:val="28"/>
          <w:szCs w:val="28"/>
          <w:rtl/>
          <w:lang w:eastAsia="en-GB"/>
        </w:rPr>
        <w:t xml:space="preserve">: </w:t>
      </w:r>
      <w:r w:rsidRPr="00035D6F">
        <w:rPr>
          <w:rFonts w:ascii="Tahoma" w:eastAsia="Times New Roman" w:hAnsi="Tahoma" w:cs="Al-Mujahed Free"/>
          <w:color w:val="FF0066"/>
          <w:sz w:val="28"/>
          <w:szCs w:val="28"/>
          <w:rtl/>
          <w:lang w:eastAsia="en-GB"/>
        </w:rPr>
        <w:br/>
      </w:r>
      <w:r w:rsidRPr="00CF2FC6">
        <w:rPr>
          <w:rFonts w:ascii="Tahoma" w:eastAsia="Times New Roman" w:hAnsi="Tahoma" w:cs="AGA Furat Regular"/>
          <w:color w:val="000066"/>
          <w:sz w:val="24"/>
          <w:szCs w:val="24"/>
          <w:rtl/>
          <w:lang w:eastAsia="en-GB"/>
        </w:rPr>
        <w:br/>
        <w:t>1 – عقود أصلية، وهي كل عقد يكون مستقلاً في وجوده غير مرتبط بأمر آخر على سبيل التبعية له في الوجود والزوال، وذلك كالبيع، والإجارة، والإيداع…</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2 – عقود تبعية، وهي كل عقد يكون تابعاً لحق آخر ومرتبطاً به في وجوده وزواله كاتصال الفرع بأصله، وذلك كالرهن والكفالة.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br/>
        <w:t>- التقسيم الرابع عشر: أن</w:t>
      </w:r>
      <w:r w:rsidR="00634C12" w:rsidRPr="00035D6F">
        <w:rPr>
          <w:rFonts w:ascii="Tahoma" w:eastAsia="Times New Roman" w:hAnsi="Tahoma" w:cs="Al-Mujahed Free"/>
          <w:color w:val="FF0066"/>
          <w:sz w:val="28"/>
          <w:szCs w:val="28"/>
          <w:rtl/>
          <w:lang w:eastAsia="en-GB"/>
        </w:rPr>
        <w:t>واع العقود من حيث الموضوع صنفان</w:t>
      </w:r>
      <w:r w:rsidR="00634C12" w:rsidRPr="00035D6F">
        <w:rPr>
          <w:rStyle w:val="FootnoteReference"/>
          <w:rFonts w:ascii="Tahoma" w:eastAsia="Times New Roman" w:hAnsi="Tahoma" w:cs="Al-Mujahed Free"/>
          <w:color w:val="FF0066"/>
          <w:sz w:val="28"/>
          <w:szCs w:val="28"/>
          <w:rtl/>
          <w:lang w:eastAsia="en-GB"/>
        </w:rPr>
        <w:footnoteReference w:id="58"/>
      </w:r>
      <w:r w:rsidRPr="00035D6F">
        <w:rPr>
          <w:rFonts w:ascii="Tahoma" w:eastAsia="Times New Roman" w:hAnsi="Tahoma" w:cs="Al-Mujahed Free"/>
          <w:color w:val="FF0066"/>
          <w:sz w:val="28"/>
          <w:szCs w:val="28"/>
          <w:rtl/>
          <w:lang w:eastAsia="en-GB"/>
        </w:rPr>
        <w:t>:</w:t>
      </w:r>
      <w:r w:rsidRPr="00035D6F">
        <w:rPr>
          <w:rFonts w:ascii="Tahoma" w:eastAsia="Times New Roman" w:hAnsi="Tahoma" w:cs="AGA Furat Regular"/>
          <w:color w:val="FF0000"/>
          <w:sz w:val="28"/>
          <w:szCs w:val="28"/>
          <w:rtl/>
          <w:lang w:eastAsia="en-GB"/>
        </w:rPr>
        <w:t xml:space="preserve"> </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1 – العقد البسيط: وهو الذي يشتمل على عقد واحد فقط؛ كعقد البيع، والإجارة، والقرض، والوكالة، ونحوها.</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2- العقد المختلط: وهو الذي يشتمل على أكثر من عقد واحد؛ كما في العقد بين صاحب الفندق والنازل فيه، فهو مزيج من عقد إيجار –بالنسبة للمَسْكَن، وبيع- بالنسبة للمأكل-، وعمل- بالنسبة للخدمة-، ووديعة- بالنسبة للأمتعة-.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قبل اختتام هذا المطلب تَحسُن الإشارة إلى توضيح مفهوم مصطلحٍ سيتكرر في طيات البحث،وهو: (التكييف القانوني أو التكييف الشرعي للمسألة)، فما المقصود بهذا المصطلح؟ الجواب آتٍ:</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035D6F">
        <w:rPr>
          <w:rFonts w:ascii="Tahoma" w:eastAsia="Times New Roman" w:hAnsi="Tahoma" w:cs="Al-Mujahed Free"/>
          <w:color w:val="FF0066"/>
          <w:sz w:val="28"/>
          <w:szCs w:val="28"/>
          <w:rtl/>
          <w:lang w:eastAsia="en-GB"/>
        </w:rPr>
        <w:t>* تكييف العقد:</w:t>
      </w:r>
      <w:r w:rsidRPr="00035D6F">
        <w:rPr>
          <w:rFonts w:ascii="Tahoma" w:eastAsia="Times New Roman" w:hAnsi="Tahoma" w:cs="Al-Mujahed Free"/>
          <w:color w:val="FF0066"/>
          <w:sz w:val="28"/>
          <w:szCs w:val="28"/>
          <w:rtl/>
          <w:lang w:eastAsia="en-GB"/>
        </w:rPr>
        <w:br/>
      </w:r>
      <w:r w:rsidRPr="00CF2FC6">
        <w:rPr>
          <w:rFonts w:ascii="Tahoma" w:eastAsia="Times New Roman" w:hAnsi="Tahoma" w:cs="AGA Furat Regular"/>
          <w:color w:val="FF0000"/>
          <w:sz w:val="24"/>
          <w:szCs w:val="24"/>
          <w:rtl/>
          <w:lang w:eastAsia="en-GB"/>
        </w:rPr>
        <w:br/>
      </w:r>
      <w:r w:rsidRPr="00CF2FC6">
        <w:rPr>
          <w:rFonts w:ascii="Tahoma" w:eastAsia="Times New Roman" w:hAnsi="Tahoma" w:cs="AGA Furat Regular"/>
          <w:color w:val="000066"/>
          <w:sz w:val="24"/>
          <w:szCs w:val="24"/>
          <w:rtl/>
          <w:lang w:eastAsia="en-GB"/>
        </w:rPr>
        <w:t>تكييف العقد، هو: إعطاء الوصف القانوني أو الشرعي للعقد؛ من أجل معرفة موقف التشريع من العقد الذي يُدْرَس.</w:t>
      </w:r>
      <w:r w:rsidRPr="00CF2FC6">
        <w:rPr>
          <w:rFonts w:ascii="Tahoma" w:eastAsia="Times New Roman" w:hAnsi="Tahoma" w:cs="AGA Furat Regular"/>
          <w:color w:val="000066"/>
          <w:sz w:val="24"/>
          <w:szCs w:val="24"/>
          <w:rtl/>
          <w:lang w:eastAsia="en-GB"/>
        </w:rPr>
        <w:br/>
        <w:t>وتكييف العقد أمر مهم وأساسي، يفيد العاقدين؛ ليستقيم عقدهما، كما يفيد المُحَكَّم- القاضي أو المفتي-؛ لإعطاء القرار الصائب عند المنازعة أو الاختلاف بين العاقدين.</w:t>
      </w:r>
      <w:r w:rsidRPr="00CF2FC6">
        <w:rPr>
          <w:rFonts w:ascii="Tahoma" w:eastAsia="Times New Roman" w:hAnsi="Tahoma" w:cs="AGA Furat Regular"/>
          <w:color w:val="000066"/>
          <w:sz w:val="24"/>
          <w:szCs w:val="24"/>
          <w:rtl/>
          <w:lang w:eastAsia="en-GB"/>
        </w:rPr>
        <w:br/>
        <w:t>فتكييف العقد هو البحث في أركان العقد، وشروطه، والأوصاف المقترنة به، والتدقيق في الآثار والالتزامات التي يتفق عليها العاقدان، والنظر في الغاية التي يقصدها المتعاقدان.</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t>والتكييف الشرعي للعقود في الفقه الإسلامي، يشمل دراسة العقد من ناحيتين</w:t>
      </w:r>
      <w:r w:rsidR="00634C12" w:rsidRPr="00CF2FC6">
        <w:rPr>
          <w:rStyle w:val="FootnoteReference"/>
          <w:rFonts w:ascii="Tahoma" w:eastAsia="Times New Roman" w:hAnsi="Tahoma" w:cs="AGA Furat Regular"/>
          <w:color w:val="000066"/>
          <w:sz w:val="24"/>
          <w:szCs w:val="24"/>
          <w:rtl/>
          <w:lang w:eastAsia="en-GB"/>
        </w:rPr>
        <w:footnoteReference w:id="59"/>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E55910">
        <w:rPr>
          <w:rFonts w:ascii="Tahoma" w:eastAsia="Times New Roman" w:hAnsi="Tahoma" w:cs="AGA Furat Regular"/>
          <w:color w:val="FF0066"/>
          <w:sz w:val="24"/>
          <w:szCs w:val="24"/>
          <w:rtl/>
          <w:lang w:eastAsia="en-GB"/>
        </w:rPr>
        <w:t>الأولى:</w:t>
      </w:r>
      <w:r w:rsidRPr="00CF2FC6">
        <w:rPr>
          <w:rFonts w:ascii="Tahoma" w:eastAsia="Times New Roman" w:hAnsi="Tahoma" w:cs="AGA Furat Regular"/>
          <w:color w:val="000066"/>
          <w:sz w:val="24"/>
          <w:szCs w:val="24"/>
          <w:rtl/>
          <w:lang w:eastAsia="en-GB"/>
        </w:rPr>
        <w:t xml:space="preserve"> من حيث مشروعية العقد، واتفاقه مع مقاصد الشريعة، وقبوله ضمن قواعد العقود العامة وأحكام التعامل الشرعية.</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br/>
      </w:r>
      <w:r w:rsidRPr="00E55910">
        <w:rPr>
          <w:rFonts w:ascii="Tahoma" w:eastAsia="Times New Roman" w:hAnsi="Tahoma" w:cs="AGA Furat Regular"/>
          <w:color w:val="FF0066"/>
          <w:sz w:val="24"/>
          <w:szCs w:val="24"/>
          <w:rtl/>
          <w:lang w:eastAsia="en-GB"/>
        </w:rPr>
        <w:t>الثانية:</w:t>
      </w:r>
      <w:r w:rsidRPr="00CF2FC6">
        <w:rPr>
          <w:rFonts w:ascii="Tahoma" w:eastAsia="Times New Roman" w:hAnsi="Tahoma" w:cs="AGA Furat Regular"/>
          <w:color w:val="000066"/>
          <w:sz w:val="24"/>
          <w:szCs w:val="24"/>
          <w:rtl/>
          <w:lang w:eastAsia="en-GB"/>
        </w:rPr>
        <w:t xml:space="preserve"> من حيث إعطاء الوصف الحقيقي للعقد.</w:t>
      </w:r>
      <w:r w:rsidRPr="00CF2FC6">
        <w:rPr>
          <w:rFonts w:ascii="Tahoma" w:eastAsia="Times New Roman" w:hAnsi="Tahoma" w:cs="AGA Furat Regular"/>
          <w:color w:val="000066"/>
          <w:sz w:val="24"/>
          <w:szCs w:val="24"/>
          <w:rtl/>
          <w:lang w:eastAsia="en-GB"/>
        </w:rPr>
        <w:br/>
      </w:r>
      <w:r w:rsidRPr="00CF2FC6">
        <w:rPr>
          <w:rFonts w:ascii="Tahoma" w:eastAsia="Times New Roman" w:hAnsi="Tahoma" w:cs="AGA Furat Regular"/>
          <w:color w:val="000066"/>
          <w:sz w:val="24"/>
          <w:szCs w:val="24"/>
          <w:rtl/>
          <w:lang w:eastAsia="en-GB"/>
        </w:rPr>
        <w:lastRenderedPageBreak/>
        <w:br/>
      </w:r>
    </w:p>
    <w:p w:rsidR="00505D8F" w:rsidRPr="00CF2FC6" w:rsidRDefault="00505D8F" w:rsidP="00505D8F">
      <w:pPr>
        <w:bidi/>
        <w:spacing w:after="0" w:line="240" w:lineRule="auto"/>
        <w:ind w:left="567" w:right="567"/>
        <w:rPr>
          <w:rFonts w:ascii="Tahoma" w:eastAsia="Times New Roman" w:hAnsi="Tahoma" w:cs="AGA Furat Regular"/>
          <w:color w:val="000066"/>
          <w:sz w:val="24"/>
          <w:szCs w:val="24"/>
          <w:rtl/>
          <w:lang w:eastAsia="en-GB"/>
        </w:rPr>
      </w:pPr>
    </w:p>
    <w:p w:rsidR="00035D6F" w:rsidRDefault="00035D6F" w:rsidP="00035D6F">
      <w:pPr>
        <w:bidi/>
        <w:spacing w:after="0" w:line="240" w:lineRule="auto"/>
        <w:ind w:right="567"/>
        <w:rPr>
          <w:rFonts w:ascii="Tahoma" w:eastAsia="Times New Roman" w:hAnsi="Tahoma" w:cs="AGA Furat Regular"/>
          <w:color w:val="000066"/>
          <w:sz w:val="24"/>
          <w:szCs w:val="24"/>
          <w:rtl/>
          <w:lang w:eastAsia="en-GB"/>
        </w:rPr>
      </w:pPr>
    </w:p>
    <w:p w:rsidR="00035D6F" w:rsidRPr="00CF2FC6" w:rsidRDefault="00035D6F" w:rsidP="00035D6F">
      <w:pPr>
        <w:bidi/>
        <w:spacing w:after="0" w:line="240" w:lineRule="auto"/>
        <w:ind w:left="567" w:right="567"/>
        <w:rPr>
          <w:rFonts w:ascii="Tahoma" w:eastAsia="Times New Roman" w:hAnsi="Tahoma" w:cs="AGA Furat Regular"/>
          <w:color w:val="000066"/>
          <w:sz w:val="24"/>
          <w:szCs w:val="24"/>
          <w:rtl/>
          <w:lang w:eastAsia="en-GB"/>
        </w:rPr>
      </w:pPr>
    </w:p>
    <w:p w:rsidR="00505D8F" w:rsidRPr="00CF2FC6" w:rsidRDefault="00505D8F" w:rsidP="00505D8F">
      <w:pPr>
        <w:bidi/>
        <w:spacing w:after="0" w:line="240" w:lineRule="auto"/>
        <w:ind w:left="567" w:right="567"/>
        <w:rPr>
          <w:rFonts w:ascii="Tahoma" w:eastAsia="Times New Roman" w:hAnsi="Tahoma" w:cs="AGA Furat Regular"/>
          <w:color w:val="000066"/>
          <w:sz w:val="24"/>
          <w:szCs w:val="24"/>
          <w:rtl/>
          <w:lang w:eastAsia="en-GB"/>
        </w:rPr>
      </w:pPr>
    </w:p>
    <w:p w:rsidR="00505D8F" w:rsidRDefault="00505D8F" w:rsidP="00505D8F">
      <w:pPr>
        <w:bidi/>
        <w:spacing w:after="0" w:line="240" w:lineRule="auto"/>
        <w:ind w:left="567" w:right="567"/>
        <w:rPr>
          <w:rFonts w:ascii="Tahoma" w:eastAsia="Times New Roman" w:hAnsi="Tahoma" w:cs="Al-Mujahed Free"/>
          <w:color w:val="FF0066"/>
          <w:sz w:val="48"/>
          <w:szCs w:val="48"/>
          <w:rtl/>
          <w:lang w:eastAsia="en-GB"/>
        </w:rPr>
      </w:pPr>
      <w:r w:rsidRPr="00035D6F">
        <w:rPr>
          <w:rFonts w:ascii="Tahoma" w:eastAsia="Times New Roman" w:hAnsi="Tahoma" w:cs="Al-Mujahed Free" w:hint="cs"/>
          <w:color w:val="FF0066"/>
          <w:sz w:val="48"/>
          <w:szCs w:val="48"/>
          <w:rtl/>
          <w:lang w:eastAsia="en-GB"/>
        </w:rPr>
        <w:t xml:space="preserve">الخاتــــــــــــــــــــــــــــمة </w:t>
      </w:r>
      <w:r w:rsidR="00172F60" w:rsidRPr="00035D6F">
        <w:rPr>
          <w:rFonts w:ascii="Tahoma" w:eastAsia="Times New Roman" w:hAnsi="Tahoma" w:cs="Al-Mujahed Free" w:hint="cs"/>
          <w:color w:val="FF0066"/>
          <w:sz w:val="48"/>
          <w:szCs w:val="48"/>
          <w:rtl/>
          <w:lang w:eastAsia="en-GB"/>
        </w:rPr>
        <w:t>:</w:t>
      </w:r>
    </w:p>
    <w:p w:rsidR="00E55910" w:rsidRPr="00035D6F" w:rsidRDefault="00E55910" w:rsidP="00E55910">
      <w:pPr>
        <w:bidi/>
        <w:spacing w:after="0" w:line="240" w:lineRule="auto"/>
        <w:ind w:left="567" w:right="567"/>
        <w:rPr>
          <w:rFonts w:ascii="Tahoma" w:eastAsia="Times New Roman" w:hAnsi="Tahoma" w:cs="Al-Mujahed Free"/>
          <w:color w:val="FF0066"/>
          <w:sz w:val="48"/>
          <w:szCs w:val="48"/>
          <w:rtl/>
          <w:lang w:eastAsia="en-GB"/>
        </w:rPr>
      </w:pPr>
    </w:p>
    <w:p w:rsidR="00172F60" w:rsidRPr="00CF2FC6" w:rsidRDefault="00172F60" w:rsidP="00172F60">
      <w:pPr>
        <w:bidi/>
        <w:spacing w:after="0" w:line="240" w:lineRule="auto"/>
        <w:ind w:left="567" w:right="567"/>
        <w:rPr>
          <w:rFonts w:ascii="Tahoma" w:eastAsia="Times New Roman" w:hAnsi="Tahoma" w:cs="AGA Furat Regular"/>
          <w:color w:val="000066"/>
          <w:sz w:val="24"/>
          <w:szCs w:val="24"/>
          <w:rtl/>
          <w:lang w:eastAsia="en-GB"/>
        </w:rPr>
      </w:pPr>
    </w:p>
    <w:p w:rsidR="00172F60" w:rsidRPr="00E55910" w:rsidRDefault="00172F60" w:rsidP="00172F60">
      <w:pPr>
        <w:pStyle w:val="NormalWeb"/>
        <w:bidi/>
        <w:spacing w:before="0" w:beforeAutospacing="0" w:after="0" w:afterAutospacing="0" w:line="360" w:lineRule="auto"/>
        <w:ind w:left="425"/>
        <w:rPr>
          <w:rFonts w:ascii="Traditional Arabic" w:hAnsi="Traditional Arabic" w:cs="AGA Furat Regular"/>
          <w:color w:val="auto"/>
          <w:sz w:val="40"/>
          <w:szCs w:val="40"/>
          <w:rtl/>
        </w:rPr>
      </w:pPr>
      <w:r w:rsidRPr="00E55910">
        <w:rPr>
          <w:rFonts w:ascii="Calibri" w:hAnsi="Calibri" w:cs="AGA Furat Regular"/>
          <w:color w:val="auto"/>
          <w:sz w:val="40"/>
          <w:szCs w:val="40"/>
          <w:rtl/>
        </w:rPr>
        <w:t xml:space="preserve">تكلمت في هذا التقرير العقود في الاسلام </w:t>
      </w:r>
      <w:r w:rsidRPr="00E55910">
        <w:rPr>
          <w:rFonts w:ascii="Calibri" w:hAnsi="Calibri" w:cs="AGA Furat Regular" w:hint="cs"/>
          <w:color w:val="auto"/>
          <w:sz w:val="40"/>
          <w:szCs w:val="40"/>
          <w:rtl/>
        </w:rPr>
        <w:t xml:space="preserve">وتعريفها </w:t>
      </w:r>
      <w:r w:rsidRPr="00E55910">
        <w:rPr>
          <w:rFonts w:ascii="Arial" w:hAnsi="Arial" w:cs="AGA Furat Regular"/>
          <w:color w:val="auto"/>
          <w:sz w:val="40"/>
          <w:szCs w:val="40"/>
          <w:rtl/>
        </w:rPr>
        <w:t xml:space="preserve">وطبيعة العقود في الإسلام مبنية على تحقيق المصالح، أو ما يعبر عنها بالمقاصد </w:t>
      </w:r>
      <w:r w:rsidRPr="00E55910">
        <w:rPr>
          <w:rFonts w:ascii="Arial" w:hAnsi="Arial" w:cs="AGA Furat Regular" w:hint="cs"/>
          <w:color w:val="auto"/>
          <w:sz w:val="40"/>
          <w:szCs w:val="40"/>
          <w:rtl/>
        </w:rPr>
        <w:t xml:space="preserve">, أنواع العقود ، وتصنيفها </w:t>
      </w:r>
      <w:r w:rsidRPr="00E55910">
        <w:rPr>
          <w:rFonts w:ascii="Arial" w:hAnsi="Arial" w:cs="AGA Furat Regular"/>
          <w:color w:val="auto"/>
          <w:sz w:val="40"/>
          <w:szCs w:val="40"/>
          <w:rtl/>
        </w:rPr>
        <w:t>.</w:t>
      </w:r>
      <w:r w:rsidRPr="00E55910">
        <w:rPr>
          <w:rFonts w:ascii="Traditional Arabic" w:hAnsi="Traditional Arabic" w:cs="AGA Furat Regular"/>
          <w:color w:val="auto"/>
          <w:sz w:val="40"/>
          <w:szCs w:val="40"/>
          <w:rtl/>
        </w:rPr>
        <w:t xml:space="preserve"> وأتمنى أن أكون قد وفقت في اختيار هذا الموضوع .</w:t>
      </w:r>
    </w:p>
    <w:p w:rsidR="00172F60" w:rsidRPr="00E55910" w:rsidRDefault="00172F60" w:rsidP="00172F60">
      <w:pPr>
        <w:bidi/>
        <w:spacing w:before="100" w:beforeAutospacing="1" w:after="178" w:line="240" w:lineRule="auto"/>
        <w:rPr>
          <w:rFonts w:ascii="Tahoma" w:eastAsia="Times New Roman" w:hAnsi="Tahoma" w:cs="AGA Furat Regular"/>
          <w:sz w:val="40"/>
          <w:szCs w:val="40"/>
          <w:rtl/>
          <w:lang w:eastAsia="en-GB"/>
        </w:rPr>
      </w:pPr>
      <w:r w:rsidRPr="00E55910">
        <w:rPr>
          <w:rFonts w:ascii="Times New Roman" w:eastAsia="Times New Roman" w:hAnsi="Times New Roman" w:cs="AGA Furat Regular"/>
          <w:sz w:val="40"/>
          <w:szCs w:val="40"/>
          <w:rtl/>
          <w:lang w:eastAsia="en-GB"/>
        </w:rPr>
        <w:t xml:space="preserve"> وآخر دعوانا أن الحمد الله رب العالمين والصلاة والسلام على أشرف المرسلين سيدنا محمد وعلى آله وصحبة أجمعين </w:t>
      </w:r>
    </w:p>
    <w:p w:rsidR="00172F60" w:rsidRPr="00E55910" w:rsidRDefault="00172F60" w:rsidP="00172F60">
      <w:pPr>
        <w:rPr>
          <w:rFonts w:cs="AGA Furat Regular"/>
          <w:sz w:val="18"/>
          <w:szCs w:val="18"/>
        </w:rPr>
      </w:pPr>
    </w:p>
    <w:p w:rsidR="00172F60" w:rsidRPr="00CF2FC6" w:rsidRDefault="00172F60" w:rsidP="00172F60">
      <w:pPr>
        <w:bidi/>
        <w:spacing w:after="0" w:line="240" w:lineRule="auto"/>
        <w:ind w:left="567" w:right="567"/>
        <w:rPr>
          <w:rFonts w:ascii="Tahoma" w:eastAsia="Times New Roman" w:hAnsi="Tahoma" w:cs="AGA Furat Regular"/>
          <w:color w:val="000066"/>
          <w:sz w:val="24"/>
          <w:szCs w:val="24"/>
          <w:rtl/>
          <w:lang w:eastAsia="en-GB"/>
        </w:rPr>
      </w:pPr>
    </w:p>
    <w:p w:rsidR="00172F60" w:rsidRPr="00CF2FC6" w:rsidRDefault="00172F60" w:rsidP="00172F60">
      <w:pPr>
        <w:bidi/>
        <w:spacing w:after="0" w:line="240" w:lineRule="auto"/>
        <w:ind w:left="567" w:right="567"/>
        <w:rPr>
          <w:rFonts w:ascii="Tahoma" w:eastAsia="Times New Roman" w:hAnsi="Tahoma" w:cs="AGA Furat Regular"/>
          <w:color w:val="000066"/>
          <w:sz w:val="24"/>
          <w:szCs w:val="24"/>
          <w:rtl/>
          <w:lang w:eastAsia="en-GB"/>
        </w:rPr>
      </w:pPr>
    </w:p>
    <w:p w:rsidR="00505D8F" w:rsidRPr="00CF2FC6" w:rsidRDefault="00505D8F" w:rsidP="00505D8F">
      <w:pPr>
        <w:bidi/>
        <w:spacing w:after="0" w:line="240" w:lineRule="auto"/>
        <w:ind w:left="567" w:right="567"/>
        <w:rPr>
          <w:rFonts w:ascii="Tahoma" w:eastAsia="Times New Roman" w:hAnsi="Tahoma" w:cs="AGA Furat Regular"/>
          <w:color w:val="000066"/>
          <w:sz w:val="24"/>
          <w:szCs w:val="24"/>
          <w:rtl/>
          <w:lang w:eastAsia="en-GB"/>
        </w:rPr>
      </w:pPr>
    </w:p>
    <w:p w:rsidR="00505D8F" w:rsidRPr="00CF2FC6" w:rsidRDefault="00505D8F" w:rsidP="00505D8F">
      <w:pPr>
        <w:bidi/>
        <w:spacing w:after="0" w:line="240" w:lineRule="auto"/>
        <w:ind w:left="567" w:right="567"/>
        <w:rPr>
          <w:rFonts w:ascii="Tahoma" w:eastAsia="Times New Roman" w:hAnsi="Tahoma" w:cs="AGA Furat Regular"/>
          <w:color w:val="000066"/>
          <w:sz w:val="24"/>
          <w:szCs w:val="24"/>
          <w:rtl/>
          <w:lang w:eastAsia="en-GB"/>
        </w:rPr>
      </w:pPr>
    </w:p>
    <w:p w:rsidR="00505D8F" w:rsidRPr="00CF2FC6" w:rsidRDefault="00505D8F" w:rsidP="00505D8F">
      <w:pPr>
        <w:bidi/>
        <w:spacing w:after="0" w:line="240" w:lineRule="auto"/>
        <w:ind w:left="567" w:right="567"/>
        <w:rPr>
          <w:rFonts w:ascii="Tahoma" w:eastAsia="Times New Roman" w:hAnsi="Tahoma" w:cs="AGA Furat Regular"/>
          <w:color w:val="000066"/>
          <w:sz w:val="24"/>
          <w:szCs w:val="24"/>
          <w:rtl/>
          <w:lang w:eastAsia="en-GB"/>
        </w:rPr>
      </w:pPr>
    </w:p>
    <w:p w:rsidR="00505D8F" w:rsidRPr="00CF2FC6" w:rsidRDefault="00505D8F" w:rsidP="00505D8F">
      <w:pPr>
        <w:bidi/>
        <w:spacing w:after="0" w:line="240" w:lineRule="auto"/>
        <w:ind w:left="567" w:right="567"/>
        <w:rPr>
          <w:rFonts w:ascii="Tahoma" w:eastAsia="Times New Roman" w:hAnsi="Tahoma" w:cs="AGA Furat Regular"/>
          <w:color w:val="000066"/>
          <w:sz w:val="24"/>
          <w:szCs w:val="24"/>
          <w:rtl/>
          <w:lang w:eastAsia="en-GB"/>
        </w:rPr>
      </w:pPr>
    </w:p>
    <w:p w:rsidR="00505D8F" w:rsidRPr="00CF2FC6" w:rsidRDefault="00505D8F" w:rsidP="00505D8F">
      <w:pPr>
        <w:bidi/>
        <w:spacing w:after="0" w:line="240" w:lineRule="auto"/>
        <w:ind w:left="567" w:right="567"/>
        <w:rPr>
          <w:rFonts w:ascii="Tahoma" w:eastAsia="Times New Roman" w:hAnsi="Tahoma" w:cs="AGA Furat Regular"/>
          <w:color w:val="000066"/>
          <w:sz w:val="24"/>
          <w:szCs w:val="24"/>
          <w:rtl/>
          <w:lang w:eastAsia="en-GB"/>
        </w:rPr>
      </w:pPr>
    </w:p>
    <w:p w:rsidR="00505D8F" w:rsidRPr="00CF2FC6" w:rsidRDefault="00505D8F" w:rsidP="00505D8F">
      <w:pPr>
        <w:bidi/>
        <w:spacing w:after="0" w:line="240" w:lineRule="auto"/>
        <w:ind w:left="567" w:right="567"/>
        <w:rPr>
          <w:rFonts w:ascii="Tahoma" w:eastAsia="Times New Roman" w:hAnsi="Tahoma" w:cs="AGA Furat Regular"/>
          <w:color w:val="000066"/>
          <w:sz w:val="24"/>
          <w:szCs w:val="24"/>
          <w:rtl/>
          <w:lang w:eastAsia="en-GB"/>
        </w:rPr>
      </w:pPr>
    </w:p>
    <w:p w:rsidR="00505D8F" w:rsidRPr="00CF2FC6" w:rsidRDefault="00505D8F" w:rsidP="00505D8F">
      <w:pPr>
        <w:bidi/>
        <w:spacing w:after="0" w:line="240" w:lineRule="auto"/>
        <w:ind w:left="567" w:right="567"/>
        <w:rPr>
          <w:rFonts w:ascii="Tahoma" w:eastAsia="Times New Roman" w:hAnsi="Tahoma" w:cs="AGA Furat Regular"/>
          <w:color w:val="000066"/>
          <w:sz w:val="24"/>
          <w:szCs w:val="24"/>
          <w:rtl/>
          <w:lang w:eastAsia="en-GB"/>
        </w:rPr>
      </w:pPr>
    </w:p>
    <w:p w:rsidR="00505D8F" w:rsidRPr="00CF2FC6" w:rsidRDefault="00505D8F" w:rsidP="00505D8F">
      <w:pPr>
        <w:bidi/>
        <w:spacing w:after="0" w:line="240" w:lineRule="auto"/>
        <w:ind w:left="567" w:right="567"/>
        <w:rPr>
          <w:rFonts w:ascii="Tahoma" w:eastAsia="Times New Roman" w:hAnsi="Tahoma" w:cs="AGA Furat Regular"/>
          <w:color w:val="000066"/>
          <w:sz w:val="24"/>
          <w:szCs w:val="24"/>
          <w:rtl/>
          <w:lang w:eastAsia="en-GB"/>
        </w:rPr>
      </w:pPr>
    </w:p>
    <w:p w:rsidR="00505D8F" w:rsidRPr="00CF2FC6" w:rsidRDefault="00505D8F" w:rsidP="00505D8F">
      <w:pPr>
        <w:bidi/>
        <w:spacing w:after="0" w:line="240" w:lineRule="auto"/>
        <w:ind w:left="567" w:right="567"/>
        <w:rPr>
          <w:rFonts w:ascii="Tahoma" w:eastAsia="Times New Roman" w:hAnsi="Tahoma" w:cs="AGA Furat Regular"/>
          <w:color w:val="000066"/>
          <w:sz w:val="24"/>
          <w:szCs w:val="24"/>
          <w:rtl/>
          <w:lang w:eastAsia="en-GB"/>
        </w:rPr>
      </w:pPr>
    </w:p>
    <w:p w:rsidR="00505D8F" w:rsidRPr="00CF2FC6" w:rsidRDefault="00505D8F" w:rsidP="00505D8F">
      <w:pPr>
        <w:bidi/>
        <w:spacing w:after="0" w:line="240" w:lineRule="auto"/>
        <w:ind w:left="567" w:right="567"/>
        <w:rPr>
          <w:rFonts w:ascii="Tahoma" w:eastAsia="Times New Roman" w:hAnsi="Tahoma" w:cs="AGA Furat Regular"/>
          <w:color w:val="000066"/>
          <w:sz w:val="24"/>
          <w:szCs w:val="24"/>
          <w:rtl/>
          <w:lang w:eastAsia="en-GB"/>
        </w:rPr>
      </w:pPr>
    </w:p>
    <w:p w:rsidR="00505D8F" w:rsidRPr="00CF2FC6" w:rsidRDefault="00505D8F" w:rsidP="00B91DD2">
      <w:pPr>
        <w:bidi/>
        <w:spacing w:after="0" w:line="240" w:lineRule="auto"/>
        <w:ind w:right="567"/>
        <w:rPr>
          <w:rFonts w:ascii="Tahoma" w:eastAsia="Times New Roman" w:hAnsi="Tahoma" w:cs="AGA Furat Regular"/>
          <w:color w:val="000066"/>
          <w:sz w:val="24"/>
          <w:szCs w:val="24"/>
          <w:rtl/>
          <w:lang w:eastAsia="en-GB"/>
        </w:rPr>
      </w:pPr>
    </w:p>
    <w:p w:rsidR="00505D8F" w:rsidRPr="00E55910" w:rsidRDefault="00505D8F" w:rsidP="00B91DD2">
      <w:pPr>
        <w:bidi/>
        <w:spacing w:after="0" w:line="240" w:lineRule="auto"/>
        <w:ind w:left="567" w:right="567"/>
        <w:rPr>
          <w:rFonts w:ascii="Tahoma" w:eastAsia="Times New Roman" w:hAnsi="Tahoma" w:cs="Al-Mujahed Free"/>
          <w:color w:val="FF0066"/>
          <w:sz w:val="40"/>
          <w:szCs w:val="40"/>
          <w:rtl/>
          <w:lang w:eastAsia="en-GB"/>
        </w:rPr>
      </w:pPr>
    </w:p>
    <w:p w:rsidR="00530BF2" w:rsidRPr="00CF2FC6" w:rsidRDefault="00505D8F" w:rsidP="00B91DD2">
      <w:pPr>
        <w:bidi/>
        <w:spacing w:after="0" w:line="240" w:lineRule="auto"/>
        <w:ind w:left="567" w:right="567"/>
        <w:rPr>
          <w:rFonts w:ascii="Times New Roman" w:eastAsia="Times New Roman" w:hAnsi="Times New Roman" w:cs="AGA Furat Regular"/>
          <w:color w:val="000000"/>
          <w:sz w:val="16"/>
          <w:szCs w:val="16"/>
          <w:lang w:eastAsia="en-GB"/>
        </w:rPr>
      </w:pPr>
      <w:r w:rsidRPr="00E55910">
        <w:rPr>
          <w:rFonts w:ascii="Tahoma" w:eastAsia="Times New Roman" w:hAnsi="Tahoma" w:cs="Al-Mujahed Free" w:hint="cs"/>
          <w:color w:val="FF0066"/>
          <w:sz w:val="40"/>
          <w:szCs w:val="40"/>
          <w:rtl/>
          <w:lang w:eastAsia="en-GB"/>
        </w:rPr>
        <w:t>المصـــــــادر والمـــــــــــــــــــــــــــراجع :</w:t>
      </w:r>
      <w:r w:rsidR="00530BF2" w:rsidRPr="00CF2FC6">
        <w:rPr>
          <w:rFonts w:ascii="Tahoma" w:eastAsia="Times New Roman" w:hAnsi="Tahoma" w:cs="AGA Furat Regular"/>
          <w:color w:val="000066"/>
          <w:sz w:val="16"/>
          <w:szCs w:val="16"/>
          <w:rtl/>
          <w:lang w:eastAsia="en-GB"/>
        </w:rPr>
        <w:br/>
      </w:r>
      <w:r w:rsidR="00530BF2" w:rsidRPr="00CF2FC6">
        <w:rPr>
          <w:rFonts w:ascii="Tahoma" w:eastAsia="Times New Roman" w:hAnsi="Tahoma" w:cs="AGA Furat Regular"/>
          <w:color w:val="000066"/>
          <w:sz w:val="16"/>
          <w:szCs w:val="16"/>
          <w:rtl/>
          <w:lang w:eastAsia="en-GB"/>
        </w:rPr>
        <w:br/>
      </w:r>
    </w:p>
    <w:p w:rsidR="00505D8F" w:rsidRPr="00CF2FC6" w:rsidRDefault="00505D8F" w:rsidP="00B91DD2">
      <w:pPr>
        <w:jc w:val="right"/>
        <w:rPr>
          <w:rFonts w:cs="AGA Furat Regular"/>
          <w:rtl/>
        </w:rPr>
      </w:pPr>
    </w:p>
    <w:p w:rsidR="00505D8F" w:rsidRDefault="00505D8F" w:rsidP="00B91DD2">
      <w:pPr>
        <w:jc w:val="right"/>
        <w:rPr>
          <w:rtl/>
        </w:rPr>
      </w:pPr>
    </w:p>
    <w:p w:rsidR="00505D8F" w:rsidRPr="00035D6F" w:rsidRDefault="00505D8F" w:rsidP="00035D6F">
      <w:pPr>
        <w:bidi/>
        <w:rPr>
          <w:color w:val="00B050"/>
          <w:rtl/>
        </w:rPr>
      </w:pPr>
    </w:p>
    <w:p w:rsidR="00505D8F" w:rsidRPr="00035D6F" w:rsidRDefault="00083148" w:rsidP="00035D6F">
      <w:pPr>
        <w:pStyle w:val="ListParagraph"/>
        <w:numPr>
          <w:ilvl w:val="0"/>
          <w:numId w:val="3"/>
        </w:numPr>
        <w:bidi/>
        <w:rPr>
          <w:rFonts w:cs="Al-Mujahed Free"/>
          <w:color w:val="00B050"/>
          <w:sz w:val="16"/>
          <w:szCs w:val="16"/>
          <w:lang w:bidi="ar-AE"/>
        </w:rPr>
      </w:pPr>
      <w:hyperlink r:id="rId12" w:history="1">
        <w:r w:rsidR="008E59C8" w:rsidRPr="00035D6F">
          <w:rPr>
            <w:rStyle w:val="Hyperlink"/>
            <w:rFonts w:cs="Al-Mujahed Free"/>
            <w:color w:val="00B050"/>
            <w:sz w:val="16"/>
            <w:szCs w:val="16"/>
            <w:lang w:bidi="ar-AE"/>
          </w:rPr>
          <w:t>http://www.dahsha.com/old/viewarticle.php?id=28325</w:t>
        </w:r>
      </w:hyperlink>
    </w:p>
    <w:p w:rsidR="00035D6F" w:rsidRPr="00035D6F" w:rsidRDefault="00035D6F" w:rsidP="00035D6F">
      <w:pPr>
        <w:pStyle w:val="ListParagraph"/>
        <w:bidi/>
        <w:rPr>
          <w:rFonts w:cs="Al-Mujahed Free"/>
          <w:color w:val="CCC0D9" w:themeColor="accent4" w:themeTint="66"/>
          <w:sz w:val="16"/>
          <w:szCs w:val="16"/>
          <w:rtl/>
          <w:lang w:bidi="ar-AE"/>
        </w:rPr>
      </w:pPr>
    </w:p>
    <w:p w:rsidR="00172F60" w:rsidRPr="00035D6F" w:rsidRDefault="00172F60" w:rsidP="00035D6F">
      <w:pPr>
        <w:pStyle w:val="ListParagraph"/>
        <w:numPr>
          <w:ilvl w:val="0"/>
          <w:numId w:val="3"/>
        </w:numPr>
        <w:bidi/>
        <w:spacing w:after="0" w:line="240" w:lineRule="auto"/>
        <w:ind w:right="567"/>
        <w:rPr>
          <w:rFonts w:ascii="Times New Roman" w:eastAsia="Times New Roman" w:hAnsi="Times New Roman" w:cs="Times New Roman"/>
          <w:b/>
          <w:bCs/>
          <w:color w:val="00B0F0"/>
          <w:sz w:val="24"/>
          <w:szCs w:val="24"/>
          <w:lang w:eastAsia="en-GB"/>
        </w:rPr>
      </w:pPr>
      <w:r w:rsidRPr="00035D6F">
        <w:rPr>
          <w:rFonts w:ascii="Tahoma" w:eastAsia="Times New Roman" w:hAnsi="Tahoma" w:cs="Traditional Arabic"/>
          <w:b/>
          <w:bCs/>
          <w:color w:val="00B0F0"/>
          <w:szCs w:val="32"/>
          <w:rtl/>
          <w:lang w:eastAsia="en-GB"/>
        </w:rPr>
        <w:t>موقع الدكتور الشيخ علاء الدين الزعتري</w:t>
      </w:r>
    </w:p>
    <w:p w:rsidR="00172F60" w:rsidRPr="00035D6F" w:rsidRDefault="00172F60" w:rsidP="00035D6F">
      <w:pPr>
        <w:bidi/>
        <w:spacing w:after="0" w:line="240" w:lineRule="auto"/>
        <w:rPr>
          <w:rFonts w:ascii="Arial" w:eastAsia="Times New Roman" w:hAnsi="Arial" w:cs="Arial"/>
          <w:b/>
          <w:bCs/>
          <w:color w:val="00B0F0"/>
          <w:sz w:val="28"/>
          <w:szCs w:val="28"/>
          <w:rtl/>
          <w:lang w:eastAsia="en-GB"/>
        </w:rPr>
      </w:pPr>
    </w:p>
    <w:p w:rsidR="00172F60" w:rsidRPr="00035D6F" w:rsidRDefault="00083148" w:rsidP="00035D6F">
      <w:pPr>
        <w:bidi/>
        <w:spacing w:after="0" w:line="240" w:lineRule="auto"/>
        <w:ind w:left="567" w:right="567"/>
        <w:rPr>
          <w:rFonts w:ascii="Times New Roman" w:eastAsia="Times New Roman" w:hAnsi="Times New Roman" w:cs="Times New Roman"/>
          <w:b/>
          <w:bCs/>
          <w:color w:val="00B0F0"/>
          <w:sz w:val="24"/>
          <w:szCs w:val="24"/>
          <w:lang w:eastAsia="en-GB"/>
        </w:rPr>
      </w:pPr>
      <w:hyperlink r:id="rId13" w:history="1">
        <w:r w:rsidR="00AD1197" w:rsidRPr="00035D6F">
          <w:rPr>
            <w:rStyle w:val="Hyperlink"/>
            <w:rFonts w:ascii="Times New Roman" w:eastAsia="Times New Roman" w:hAnsi="Times New Roman" w:cs="Times New Roman"/>
            <w:b/>
            <w:bCs/>
            <w:color w:val="00B0F0"/>
            <w:sz w:val="16"/>
            <w:szCs w:val="16"/>
            <w:lang w:eastAsia="en-GB"/>
          </w:rPr>
          <w:t>http://www.alzatari.org/show_art_details.php?id=162</w:t>
        </w:r>
      </w:hyperlink>
      <w:r w:rsidR="00AD1197" w:rsidRPr="00035D6F">
        <w:rPr>
          <w:rFonts w:ascii="Times New Roman" w:eastAsia="Times New Roman" w:hAnsi="Times New Roman" w:cs="Times New Roman" w:hint="cs"/>
          <w:b/>
          <w:bCs/>
          <w:color w:val="00B0F0"/>
          <w:sz w:val="16"/>
          <w:szCs w:val="16"/>
          <w:rtl/>
          <w:lang w:eastAsia="en-GB"/>
        </w:rPr>
        <w:t xml:space="preserve"> </w:t>
      </w:r>
    </w:p>
    <w:p w:rsidR="00505D8F" w:rsidRPr="00035D6F" w:rsidRDefault="00505D8F" w:rsidP="00035D6F">
      <w:pPr>
        <w:bidi/>
        <w:rPr>
          <w:rFonts w:cs="Al-Mujahed Free"/>
          <w:color w:val="00B050"/>
          <w:sz w:val="16"/>
          <w:szCs w:val="16"/>
          <w:rtl/>
          <w:lang w:bidi="ar-AE"/>
        </w:rPr>
      </w:pPr>
    </w:p>
    <w:p w:rsidR="00505D8F" w:rsidRPr="00035D6F" w:rsidRDefault="00083148" w:rsidP="00035D6F">
      <w:pPr>
        <w:pStyle w:val="ListParagraph"/>
        <w:numPr>
          <w:ilvl w:val="0"/>
          <w:numId w:val="4"/>
        </w:numPr>
        <w:bidi/>
        <w:rPr>
          <w:rFonts w:cs="Al-Mujahed Free"/>
          <w:color w:val="00B050"/>
          <w:sz w:val="16"/>
          <w:szCs w:val="16"/>
          <w:rtl/>
          <w:lang w:bidi="ar-AE"/>
        </w:rPr>
      </w:pPr>
      <w:hyperlink r:id="rId14" w:history="1">
        <w:r w:rsidR="00AD1197" w:rsidRPr="00035D6F">
          <w:rPr>
            <w:rStyle w:val="Hyperlink"/>
            <w:rFonts w:cs="Al-Mujahed Free"/>
            <w:color w:val="00B050"/>
            <w:sz w:val="16"/>
            <w:szCs w:val="16"/>
            <w:lang w:bidi="ar-AE"/>
          </w:rPr>
          <w:t>http://www.uae7.com/vb/t73045.html</w:t>
        </w:r>
      </w:hyperlink>
      <w:r w:rsidR="00AD1197" w:rsidRPr="00035D6F">
        <w:rPr>
          <w:rFonts w:cs="Al-Mujahed Free" w:hint="cs"/>
          <w:color w:val="00B050"/>
          <w:sz w:val="16"/>
          <w:szCs w:val="16"/>
          <w:rtl/>
          <w:lang w:bidi="ar-AE"/>
        </w:rPr>
        <w:t xml:space="preserve">  </w:t>
      </w:r>
    </w:p>
    <w:p w:rsidR="00505D8F" w:rsidRPr="00035D6F" w:rsidRDefault="00505D8F" w:rsidP="00035D6F">
      <w:pPr>
        <w:bidi/>
        <w:rPr>
          <w:rFonts w:cs="Al-Mujahed Free"/>
          <w:color w:val="00B050"/>
          <w:sz w:val="16"/>
          <w:szCs w:val="16"/>
          <w:rtl/>
          <w:lang w:bidi="ar-AE"/>
        </w:rPr>
      </w:pPr>
    </w:p>
    <w:p w:rsidR="00505D8F" w:rsidRPr="00035D6F" w:rsidRDefault="00083148" w:rsidP="00035D6F">
      <w:pPr>
        <w:pStyle w:val="ListParagraph"/>
        <w:numPr>
          <w:ilvl w:val="0"/>
          <w:numId w:val="4"/>
        </w:numPr>
        <w:bidi/>
        <w:rPr>
          <w:rFonts w:cs="Al-Mujahed Free"/>
          <w:color w:val="00B050"/>
          <w:sz w:val="16"/>
          <w:szCs w:val="16"/>
          <w:rtl/>
          <w:lang w:bidi="ar-AE"/>
        </w:rPr>
      </w:pPr>
      <w:hyperlink r:id="rId15" w:history="1">
        <w:r w:rsidR="00AD1197" w:rsidRPr="00035D6F">
          <w:rPr>
            <w:rStyle w:val="Hyperlink"/>
            <w:rFonts w:cs="Al-Mujahed Free"/>
            <w:color w:val="00B050"/>
            <w:sz w:val="16"/>
            <w:szCs w:val="16"/>
            <w:lang w:bidi="ar-AE"/>
          </w:rPr>
          <w:t>http://www.islamweb.net/fatwa/index.php?page=showfatwa&amp;Option=FatwaId&amp;Id=168119</w:t>
        </w:r>
      </w:hyperlink>
      <w:r w:rsidR="00AD1197" w:rsidRPr="00035D6F">
        <w:rPr>
          <w:rFonts w:cs="Al-Mujahed Free" w:hint="cs"/>
          <w:color w:val="00B050"/>
          <w:sz w:val="16"/>
          <w:szCs w:val="16"/>
          <w:rtl/>
          <w:lang w:bidi="ar-AE"/>
        </w:rPr>
        <w:t xml:space="preserve"> </w:t>
      </w:r>
    </w:p>
    <w:p w:rsidR="00505D8F" w:rsidRPr="00035D6F" w:rsidRDefault="00505D8F" w:rsidP="00035D6F">
      <w:pPr>
        <w:bidi/>
        <w:rPr>
          <w:rFonts w:cs="Al-Mujahed Free"/>
          <w:color w:val="00B050"/>
          <w:sz w:val="16"/>
          <w:szCs w:val="16"/>
          <w:rtl/>
          <w:lang w:bidi="ar-AE"/>
        </w:rPr>
      </w:pPr>
    </w:p>
    <w:p w:rsidR="00505D8F" w:rsidRPr="00035D6F" w:rsidRDefault="00083148" w:rsidP="00035D6F">
      <w:pPr>
        <w:pStyle w:val="ListParagraph"/>
        <w:numPr>
          <w:ilvl w:val="0"/>
          <w:numId w:val="4"/>
        </w:numPr>
        <w:bidi/>
        <w:rPr>
          <w:rFonts w:cs="Al-Mujahed Free"/>
          <w:color w:val="00B050"/>
          <w:sz w:val="16"/>
          <w:szCs w:val="16"/>
          <w:rtl/>
          <w:lang w:bidi="ar-AE"/>
        </w:rPr>
      </w:pPr>
      <w:hyperlink r:id="rId16" w:history="1">
        <w:r w:rsidR="00AD1197" w:rsidRPr="00035D6F">
          <w:rPr>
            <w:rStyle w:val="Hyperlink"/>
            <w:rFonts w:cs="Al-Mujahed Free"/>
            <w:color w:val="00B050"/>
            <w:sz w:val="16"/>
            <w:szCs w:val="16"/>
            <w:lang w:bidi="ar-AE"/>
          </w:rPr>
          <w:t>http://www.alukah.net/Sharia/0/36732/</w:t>
        </w:r>
      </w:hyperlink>
      <w:r w:rsidR="00AD1197" w:rsidRPr="00035D6F">
        <w:rPr>
          <w:rFonts w:cs="Al-Mujahed Free" w:hint="cs"/>
          <w:color w:val="00B050"/>
          <w:sz w:val="16"/>
          <w:szCs w:val="16"/>
          <w:rtl/>
          <w:lang w:bidi="ar-AE"/>
        </w:rPr>
        <w:t xml:space="preserve"> </w:t>
      </w:r>
    </w:p>
    <w:p w:rsidR="00505D8F" w:rsidRPr="00035D6F" w:rsidRDefault="00505D8F" w:rsidP="00035D6F">
      <w:pPr>
        <w:bidi/>
        <w:rPr>
          <w:rFonts w:cs="Al-Mujahed Free"/>
          <w:color w:val="00B050"/>
          <w:sz w:val="16"/>
          <w:szCs w:val="16"/>
          <w:rtl/>
          <w:lang w:bidi="ar-AE"/>
        </w:rPr>
      </w:pPr>
    </w:p>
    <w:p w:rsidR="00505D8F" w:rsidRDefault="00083148" w:rsidP="00035D6F">
      <w:pPr>
        <w:pStyle w:val="ListParagraph"/>
        <w:numPr>
          <w:ilvl w:val="0"/>
          <w:numId w:val="4"/>
        </w:numPr>
        <w:bidi/>
        <w:rPr>
          <w:rFonts w:cs="Al-Mujahed Free" w:hint="cs"/>
          <w:color w:val="00B050"/>
          <w:sz w:val="16"/>
          <w:szCs w:val="16"/>
          <w:lang w:bidi="ar-AE"/>
        </w:rPr>
      </w:pPr>
      <w:hyperlink r:id="rId17" w:history="1">
        <w:r w:rsidR="00CF2FC6" w:rsidRPr="00035D6F">
          <w:rPr>
            <w:rStyle w:val="Hyperlink"/>
            <w:rFonts w:cs="Al-Mujahed Free"/>
            <w:color w:val="00B050"/>
            <w:sz w:val="16"/>
            <w:szCs w:val="16"/>
            <w:lang w:bidi="ar-AE"/>
          </w:rPr>
          <w:t>http://www.almodarresi.com/books/681/index.htm</w:t>
        </w:r>
      </w:hyperlink>
      <w:r w:rsidR="00CF2FC6" w:rsidRPr="00035D6F">
        <w:rPr>
          <w:rFonts w:cs="Al-Mujahed Free" w:hint="cs"/>
          <w:color w:val="00B050"/>
          <w:sz w:val="16"/>
          <w:szCs w:val="16"/>
          <w:rtl/>
          <w:lang w:bidi="ar-AE"/>
        </w:rPr>
        <w:t xml:space="preserve"> </w:t>
      </w:r>
    </w:p>
    <w:p w:rsidR="00E67B71" w:rsidRDefault="00E67B71" w:rsidP="00E67B71">
      <w:pPr>
        <w:pStyle w:val="ListParagraph"/>
        <w:bidi/>
        <w:rPr>
          <w:rFonts w:cs="Al-Mujahed Free" w:hint="cs"/>
          <w:color w:val="00B050"/>
          <w:sz w:val="16"/>
          <w:szCs w:val="16"/>
          <w:lang w:bidi="ar-AE"/>
        </w:rPr>
      </w:pPr>
    </w:p>
    <w:p w:rsidR="00E67B71" w:rsidRDefault="00E67B71" w:rsidP="00E67B71">
      <w:pPr>
        <w:pStyle w:val="ListParagraph"/>
        <w:bidi/>
        <w:rPr>
          <w:rFonts w:cs="Al-Mujahed Free"/>
          <w:color w:val="00B050"/>
          <w:sz w:val="16"/>
          <w:szCs w:val="16"/>
          <w:lang w:bidi="ar-AE"/>
        </w:rPr>
      </w:pPr>
    </w:p>
    <w:p w:rsidR="00E67B71" w:rsidRPr="00E67B71" w:rsidRDefault="00E67B71" w:rsidP="00E67B71">
      <w:pPr>
        <w:pStyle w:val="ListParagraph"/>
        <w:numPr>
          <w:ilvl w:val="0"/>
          <w:numId w:val="4"/>
        </w:numPr>
        <w:bidi/>
        <w:rPr>
          <w:rFonts w:cs="Al-Mujahed Free"/>
          <w:color w:val="00B050"/>
          <w:sz w:val="16"/>
          <w:szCs w:val="16"/>
          <w:lang w:bidi="ar-AE"/>
        </w:rPr>
      </w:pPr>
      <w:r>
        <w:rPr>
          <w:rFonts w:cs="Al-Mujahed Free" w:hint="cs"/>
          <w:color w:val="00B050"/>
          <w:sz w:val="16"/>
          <w:szCs w:val="16"/>
          <w:rtl/>
          <w:lang w:bidi="ar-AE"/>
        </w:rPr>
        <w:t>موسوعة الفقة الاسلامي .</w:t>
      </w:r>
    </w:p>
    <w:p w:rsidR="00E67B71" w:rsidRDefault="00E67B71" w:rsidP="00E67B71">
      <w:pPr>
        <w:bidi/>
        <w:rPr>
          <w:rFonts w:cs="Al-Mujahed Free"/>
          <w:color w:val="00B050"/>
          <w:sz w:val="16"/>
          <w:szCs w:val="16"/>
          <w:lang w:bidi="ar-AE"/>
        </w:rPr>
      </w:pPr>
    </w:p>
    <w:p w:rsidR="00E67B71" w:rsidRPr="00E67B71" w:rsidRDefault="00E67B71" w:rsidP="00E67B71">
      <w:pPr>
        <w:bidi/>
        <w:rPr>
          <w:rFonts w:cs="Al-Mujahed Free"/>
          <w:color w:val="00B050"/>
          <w:sz w:val="16"/>
          <w:szCs w:val="16"/>
          <w:rtl/>
          <w:lang w:bidi="ar-AE"/>
        </w:rPr>
      </w:pPr>
    </w:p>
    <w:p w:rsidR="00505D8F" w:rsidRPr="00505D8F" w:rsidRDefault="00505D8F" w:rsidP="00505D8F">
      <w:pPr>
        <w:rPr>
          <w:rFonts w:cs="Al-Mujahed Free"/>
          <w:sz w:val="16"/>
          <w:szCs w:val="16"/>
          <w:rtl/>
          <w:lang w:bidi="ar-AE"/>
        </w:rPr>
      </w:pPr>
    </w:p>
    <w:p w:rsidR="00505D8F" w:rsidRDefault="00505D8F" w:rsidP="00505D8F">
      <w:pPr>
        <w:rPr>
          <w:rFonts w:cs="Al-Mujahed Free"/>
          <w:sz w:val="16"/>
          <w:szCs w:val="16"/>
          <w:rtl/>
          <w:lang w:bidi="ar-AE"/>
        </w:rPr>
      </w:pPr>
    </w:p>
    <w:p w:rsidR="00B8638B" w:rsidRDefault="00505D8F" w:rsidP="00505D8F">
      <w:pPr>
        <w:tabs>
          <w:tab w:val="left" w:pos="8160"/>
        </w:tabs>
        <w:rPr>
          <w:rFonts w:cs="Al-Mujahed Free"/>
          <w:sz w:val="16"/>
          <w:szCs w:val="16"/>
          <w:rtl/>
          <w:lang w:bidi="ar-AE"/>
        </w:rPr>
      </w:pPr>
      <w:r>
        <w:rPr>
          <w:rFonts w:cs="Al-Mujahed Free"/>
          <w:sz w:val="16"/>
          <w:szCs w:val="16"/>
          <w:lang w:bidi="ar-AE"/>
        </w:rPr>
        <w:tab/>
      </w:r>
    </w:p>
    <w:p w:rsidR="00505D8F" w:rsidRDefault="00505D8F" w:rsidP="00505D8F">
      <w:pPr>
        <w:tabs>
          <w:tab w:val="left" w:pos="8160"/>
        </w:tabs>
        <w:rPr>
          <w:rFonts w:cs="Al-Mujahed Free"/>
          <w:sz w:val="16"/>
          <w:szCs w:val="16"/>
          <w:rtl/>
          <w:lang w:bidi="ar-AE"/>
        </w:rPr>
      </w:pPr>
    </w:p>
    <w:p w:rsidR="00505D8F" w:rsidRDefault="00505D8F" w:rsidP="00505D8F">
      <w:pPr>
        <w:tabs>
          <w:tab w:val="left" w:pos="8160"/>
        </w:tabs>
        <w:rPr>
          <w:rFonts w:cs="Al-Mujahed Free"/>
          <w:sz w:val="16"/>
          <w:szCs w:val="16"/>
          <w:rtl/>
          <w:lang w:bidi="ar-AE"/>
        </w:rPr>
      </w:pPr>
    </w:p>
    <w:p w:rsidR="00505D8F" w:rsidRDefault="00505D8F" w:rsidP="00505D8F">
      <w:pPr>
        <w:tabs>
          <w:tab w:val="left" w:pos="8160"/>
        </w:tabs>
        <w:rPr>
          <w:rFonts w:cs="Al-Mujahed Free"/>
          <w:sz w:val="16"/>
          <w:szCs w:val="16"/>
          <w:rtl/>
          <w:lang w:bidi="ar-AE"/>
        </w:rPr>
      </w:pPr>
    </w:p>
    <w:p w:rsidR="00035D6F" w:rsidRDefault="00035D6F" w:rsidP="00505D8F">
      <w:pPr>
        <w:tabs>
          <w:tab w:val="left" w:pos="8160"/>
        </w:tabs>
        <w:rPr>
          <w:rFonts w:cs="Al-Mujahed Free"/>
          <w:sz w:val="16"/>
          <w:szCs w:val="16"/>
          <w:rtl/>
          <w:lang w:bidi="ar-AE"/>
        </w:rPr>
      </w:pPr>
    </w:p>
    <w:p w:rsidR="00035D6F" w:rsidRDefault="00035D6F" w:rsidP="00505D8F">
      <w:pPr>
        <w:tabs>
          <w:tab w:val="left" w:pos="8160"/>
        </w:tabs>
        <w:rPr>
          <w:rFonts w:cs="Al-Mujahed Free"/>
          <w:sz w:val="16"/>
          <w:szCs w:val="16"/>
          <w:rtl/>
          <w:lang w:bidi="ar-AE"/>
        </w:rPr>
      </w:pPr>
    </w:p>
    <w:p w:rsidR="00035D6F" w:rsidRDefault="00035D6F" w:rsidP="00505D8F">
      <w:pPr>
        <w:tabs>
          <w:tab w:val="left" w:pos="8160"/>
        </w:tabs>
        <w:rPr>
          <w:rFonts w:cs="Al-Mujahed Free"/>
          <w:sz w:val="16"/>
          <w:szCs w:val="16"/>
          <w:rtl/>
          <w:lang w:bidi="ar-AE"/>
        </w:rPr>
      </w:pPr>
    </w:p>
    <w:p w:rsidR="00035D6F" w:rsidRDefault="00035D6F" w:rsidP="00505D8F">
      <w:pPr>
        <w:tabs>
          <w:tab w:val="left" w:pos="8160"/>
        </w:tabs>
        <w:rPr>
          <w:rFonts w:cs="Al-Mujahed Free"/>
          <w:sz w:val="16"/>
          <w:szCs w:val="16"/>
          <w:rtl/>
          <w:lang w:bidi="ar-AE"/>
        </w:rPr>
      </w:pPr>
    </w:p>
    <w:p w:rsidR="00505D8F" w:rsidRDefault="00505D8F" w:rsidP="00505D8F">
      <w:pPr>
        <w:tabs>
          <w:tab w:val="left" w:pos="8160"/>
        </w:tabs>
        <w:rPr>
          <w:rFonts w:cs="Al-Mujahed Free"/>
          <w:sz w:val="16"/>
          <w:szCs w:val="16"/>
          <w:rtl/>
          <w:lang w:bidi="ar-AE"/>
        </w:rPr>
      </w:pPr>
    </w:p>
    <w:p w:rsidR="00E55910" w:rsidRDefault="00505D8F" w:rsidP="00E55910">
      <w:pPr>
        <w:tabs>
          <w:tab w:val="left" w:pos="8160"/>
        </w:tabs>
        <w:jc w:val="right"/>
        <w:rPr>
          <w:rFonts w:cs="Al-Mujahed Free"/>
          <w:color w:val="FF0066"/>
          <w:sz w:val="32"/>
          <w:szCs w:val="32"/>
          <w:rtl/>
          <w:lang w:bidi="ar-AE"/>
        </w:rPr>
      </w:pPr>
      <w:r w:rsidRPr="00E55910">
        <w:rPr>
          <w:rFonts w:cs="Al-Mujahed Free" w:hint="cs"/>
          <w:color w:val="FF0066"/>
          <w:sz w:val="32"/>
          <w:szCs w:val="32"/>
          <w:rtl/>
          <w:lang w:bidi="ar-AE"/>
        </w:rPr>
        <w:t>الفهــــــــــــــــــــــــــــــــــــــــــــــــــــرس :</w:t>
      </w:r>
    </w:p>
    <w:p w:rsidR="00897D9F" w:rsidRDefault="00897D9F" w:rsidP="00E55910">
      <w:pPr>
        <w:tabs>
          <w:tab w:val="left" w:pos="8160"/>
        </w:tabs>
        <w:jc w:val="right"/>
        <w:rPr>
          <w:rFonts w:cs="Al-Mujahed Free"/>
          <w:color w:val="FF0066"/>
          <w:sz w:val="32"/>
          <w:szCs w:val="32"/>
          <w:rtl/>
          <w:lang w:bidi="ar-AE"/>
        </w:rPr>
      </w:pPr>
    </w:p>
    <w:p w:rsidR="00897D9F" w:rsidRDefault="00897D9F" w:rsidP="00E55910">
      <w:pPr>
        <w:tabs>
          <w:tab w:val="left" w:pos="8160"/>
        </w:tabs>
        <w:jc w:val="right"/>
        <w:rPr>
          <w:rFonts w:cs="Al-Mujahed Free"/>
          <w:color w:val="FF0066"/>
          <w:sz w:val="32"/>
          <w:szCs w:val="32"/>
          <w:rtl/>
          <w:lang w:bidi="ar-AE"/>
        </w:rPr>
      </w:pPr>
    </w:p>
    <w:p w:rsidR="00897D9F" w:rsidRPr="00E55910" w:rsidRDefault="00897D9F" w:rsidP="00E55910">
      <w:pPr>
        <w:tabs>
          <w:tab w:val="left" w:pos="8160"/>
        </w:tabs>
        <w:jc w:val="right"/>
        <w:rPr>
          <w:rFonts w:cs="Al-Mujahed Free"/>
          <w:color w:val="FF0066"/>
          <w:sz w:val="32"/>
          <w:szCs w:val="32"/>
          <w:rtl/>
          <w:lang w:bidi="ar-AE"/>
        </w:rPr>
      </w:pPr>
    </w:p>
    <w:tbl>
      <w:tblPr>
        <w:tblStyle w:val="LightShading-Accent4"/>
        <w:tblW w:w="9313" w:type="dxa"/>
        <w:tblLook w:val="04A0"/>
      </w:tblPr>
      <w:tblGrid>
        <w:gridCol w:w="4656"/>
        <w:gridCol w:w="4657"/>
      </w:tblGrid>
      <w:tr w:rsidR="00E55910" w:rsidTr="00897D9F">
        <w:trPr>
          <w:cnfStyle w:val="100000000000"/>
          <w:trHeight w:val="625"/>
        </w:trPr>
        <w:tc>
          <w:tcPr>
            <w:cnfStyle w:val="001000000000"/>
            <w:tcW w:w="4656" w:type="dxa"/>
          </w:tcPr>
          <w:p w:rsidR="00E55910" w:rsidRPr="00897D9F" w:rsidRDefault="00E55910" w:rsidP="00897D9F">
            <w:pPr>
              <w:tabs>
                <w:tab w:val="left" w:pos="8160"/>
              </w:tabs>
              <w:jc w:val="right"/>
              <w:rPr>
                <w:rFonts w:cs="FreeHand"/>
                <w:color w:val="FF0066"/>
                <w:sz w:val="32"/>
                <w:szCs w:val="32"/>
                <w:lang w:bidi="ar-AE"/>
              </w:rPr>
            </w:pPr>
            <w:r w:rsidRPr="00897D9F">
              <w:rPr>
                <w:rFonts w:cs="FreeHand" w:hint="cs"/>
                <w:color w:val="FF0066"/>
                <w:sz w:val="32"/>
                <w:szCs w:val="32"/>
                <w:rtl/>
                <w:lang w:bidi="ar-AE"/>
              </w:rPr>
              <w:t xml:space="preserve">رقــــــــــــــــــــــم الصفحة </w:t>
            </w:r>
          </w:p>
        </w:tc>
        <w:tc>
          <w:tcPr>
            <w:tcW w:w="4657" w:type="dxa"/>
          </w:tcPr>
          <w:p w:rsidR="00E55910" w:rsidRPr="00897D9F" w:rsidRDefault="00E55910" w:rsidP="00897D9F">
            <w:pPr>
              <w:tabs>
                <w:tab w:val="left" w:pos="8160"/>
              </w:tabs>
              <w:jc w:val="right"/>
              <w:cnfStyle w:val="100000000000"/>
              <w:rPr>
                <w:rFonts w:cs="FreeHand"/>
                <w:color w:val="FF0066"/>
                <w:sz w:val="32"/>
                <w:szCs w:val="32"/>
                <w:lang w:bidi="ar-AE"/>
              </w:rPr>
            </w:pPr>
            <w:r w:rsidRPr="00897D9F">
              <w:rPr>
                <w:rFonts w:cs="FreeHand" w:hint="cs"/>
                <w:color w:val="FF0066"/>
                <w:sz w:val="32"/>
                <w:szCs w:val="32"/>
                <w:rtl/>
                <w:lang w:bidi="ar-AE"/>
              </w:rPr>
              <w:t>المحــــــــــــــــــــــتوى</w:t>
            </w:r>
          </w:p>
        </w:tc>
      </w:tr>
      <w:tr w:rsidR="00E55910" w:rsidTr="00897D9F">
        <w:trPr>
          <w:cnfStyle w:val="000000100000"/>
          <w:trHeight w:val="625"/>
        </w:trPr>
        <w:tc>
          <w:tcPr>
            <w:cnfStyle w:val="001000000000"/>
            <w:tcW w:w="4656" w:type="dxa"/>
          </w:tcPr>
          <w:p w:rsidR="00E55910" w:rsidRPr="00897D9F" w:rsidRDefault="00897D9F" w:rsidP="00897D9F">
            <w:pPr>
              <w:tabs>
                <w:tab w:val="left" w:pos="8160"/>
              </w:tabs>
              <w:jc w:val="center"/>
              <w:rPr>
                <w:rFonts w:cs="FreeHand"/>
                <w:color w:val="00B050"/>
                <w:sz w:val="32"/>
                <w:szCs w:val="32"/>
                <w:lang w:bidi="ar-AE"/>
              </w:rPr>
            </w:pPr>
            <w:r w:rsidRPr="00897D9F">
              <w:rPr>
                <w:rFonts w:cs="FreeHand" w:hint="cs"/>
                <w:color w:val="00B050"/>
                <w:sz w:val="32"/>
                <w:szCs w:val="32"/>
                <w:rtl/>
                <w:lang w:bidi="ar-AE"/>
              </w:rPr>
              <w:t>2</w:t>
            </w:r>
          </w:p>
        </w:tc>
        <w:tc>
          <w:tcPr>
            <w:tcW w:w="4657" w:type="dxa"/>
          </w:tcPr>
          <w:p w:rsidR="00E55910" w:rsidRPr="00897D9F" w:rsidRDefault="00E55910" w:rsidP="00897D9F">
            <w:pPr>
              <w:tabs>
                <w:tab w:val="left" w:pos="8160"/>
              </w:tabs>
              <w:jc w:val="right"/>
              <w:cnfStyle w:val="000000100000"/>
              <w:rPr>
                <w:rFonts w:cs="FreeHand"/>
                <w:color w:val="9C5BCD"/>
                <w:sz w:val="32"/>
                <w:szCs w:val="32"/>
                <w:lang w:bidi="ar-AE"/>
              </w:rPr>
            </w:pPr>
            <w:r w:rsidRPr="00897D9F">
              <w:rPr>
                <w:rFonts w:cs="FreeHand" w:hint="cs"/>
                <w:color w:val="9C5BCD"/>
                <w:sz w:val="32"/>
                <w:szCs w:val="32"/>
                <w:rtl/>
                <w:lang w:bidi="ar-AE"/>
              </w:rPr>
              <w:t xml:space="preserve">المقـــــــــــــــــــدمة </w:t>
            </w:r>
          </w:p>
        </w:tc>
      </w:tr>
      <w:tr w:rsidR="00E55910" w:rsidTr="00897D9F">
        <w:trPr>
          <w:trHeight w:val="625"/>
        </w:trPr>
        <w:tc>
          <w:tcPr>
            <w:cnfStyle w:val="001000000000"/>
            <w:tcW w:w="4656" w:type="dxa"/>
          </w:tcPr>
          <w:p w:rsidR="00E55910" w:rsidRPr="00897D9F" w:rsidRDefault="00897D9F" w:rsidP="00897D9F">
            <w:pPr>
              <w:tabs>
                <w:tab w:val="left" w:pos="8160"/>
              </w:tabs>
              <w:jc w:val="center"/>
              <w:rPr>
                <w:rFonts w:cs="FreeHand"/>
                <w:color w:val="00B050"/>
                <w:sz w:val="32"/>
                <w:szCs w:val="32"/>
                <w:lang w:bidi="ar-AE"/>
              </w:rPr>
            </w:pPr>
            <w:r w:rsidRPr="00897D9F">
              <w:rPr>
                <w:rFonts w:cs="FreeHand" w:hint="cs"/>
                <w:color w:val="00B050"/>
                <w:sz w:val="32"/>
                <w:szCs w:val="32"/>
                <w:rtl/>
                <w:lang w:bidi="ar-AE"/>
              </w:rPr>
              <w:t>من 3 الى 20</w:t>
            </w:r>
          </w:p>
        </w:tc>
        <w:tc>
          <w:tcPr>
            <w:tcW w:w="4657" w:type="dxa"/>
          </w:tcPr>
          <w:p w:rsidR="00E55910" w:rsidRPr="00897D9F" w:rsidRDefault="00E55910" w:rsidP="00897D9F">
            <w:pPr>
              <w:tabs>
                <w:tab w:val="left" w:pos="8160"/>
              </w:tabs>
              <w:jc w:val="right"/>
              <w:cnfStyle w:val="000000000000"/>
              <w:rPr>
                <w:rFonts w:cs="FreeHand"/>
                <w:color w:val="9C5BCD"/>
                <w:sz w:val="32"/>
                <w:szCs w:val="32"/>
                <w:lang w:bidi="ar-AE"/>
              </w:rPr>
            </w:pPr>
            <w:r w:rsidRPr="00897D9F">
              <w:rPr>
                <w:rFonts w:cs="FreeHand" w:hint="cs"/>
                <w:color w:val="9C5BCD"/>
                <w:sz w:val="32"/>
                <w:szCs w:val="32"/>
                <w:rtl/>
                <w:lang w:bidi="ar-AE"/>
              </w:rPr>
              <w:t xml:space="preserve">المــــــــــــــــــــــــوضوع </w:t>
            </w:r>
          </w:p>
        </w:tc>
      </w:tr>
      <w:tr w:rsidR="00E55910" w:rsidTr="00897D9F">
        <w:trPr>
          <w:cnfStyle w:val="000000100000"/>
          <w:trHeight w:val="625"/>
        </w:trPr>
        <w:tc>
          <w:tcPr>
            <w:cnfStyle w:val="001000000000"/>
            <w:tcW w:w="4656" w:type="dxa"/>
          </w:tcPr>
          <w:p w:rsidR="00E55910" w:rsidRPr="00897D9F" w:rsidRDefault="00897D9F" w:rsidP="00897D9F">
            <w:pPr>
              <w:tabs>
                <w:tab w:val="left" w:pos="8160"/>
              </w:tabs>
              <w:jc w:val="center"/>
              <w:rPr>
                <w:rFonts w:cs="FreeHand"/>
                <w:color w:val="00B050"/>
                <w:sz w:val="32"/>
                <w:szCs w:val="32"/>
                <w:lang w:bidi="ar-AE"/>
              </w:rPr>
            </w:pPr>
            <w:r w:rsidRPr="00897D9F">
              <w:rPr>
                <w:rFonts w:cs="FreeHand" w:hint="cs"/>
                <w:color w:val="00B050"/>
                <w:sz w:val="32"/>
                <w:szCs w:val="32"/>
                <w:rtl/>
                <w:lang w:bidi="ar-AE"/>
              </w:rPr>
              <w:t>21</w:t>
            </w:r>
          </w:p>
        </w:tc>
        <w:tc>
          <w:tcPr>
            <w:tcW w:w="4657" w:type="dxa"/>
          </w:tcPr>
          <w:p w:rsidR="00E55910" w:rsidRPr="00897D9F" w:rsidRDefault="00E55910" w:rsidP="00897D9F">
            <w:pPr>
              <w:tabs>
                <w:tab w:val="left" w:pos="8160"/>
              </w:tabs>
              <w:jc w:val="right"/>
              <w:cnfStyle w:val="000000100000"/>
              <w:rPr>
                <w:rFonts w:cs="FreeHand"/>
                <w:color w:val="9C5BCD"/>
                <w:sz w:val="32"/>
                <w:szCs w:val="32"/>
                <w:lang w:bidi="ar-AE"/>
              </w:rPr>
            </w:pPr>
            <w:r w:rsidRPr="00897D9F">
              <w:rPr>
                <w:rFonts w:cs="FreeHand" w:hint="cs"/>
                <w:color w:val="9C5BCD"/>
                <w:sz w:val="32"/>
                <w:szCs w:val="32"/>
                <w:rtl/>
                <w:lang w:bidi="ar-AE"/>
              </w:rPr>
              <w:t xml:space="preserve">الخـــــــــــــــــــاتمة </w:t>
            </w:r>
          </w:p>
        </w:tc>
      </w:tr>
      <w:tr w:rsidR="00E55910" w:rsidTr="00897D9F">
        <w:trPr>
          <w:trHeight w:val="625"/>
        </w:trPr>
        <w:tc>
          <w:tcPr>
            <w:cnfStyle w:val="001000000000"/>
            <w:tcW w:w="4656" w:type="dxa"/>
          </w:tcPr>
          <w:p w:rsidR="00E55910" w:rsidRPr="00897D9F" w:rsidRDefault="00897D9F" w:rsidP="00897D9F">
            <w:pPr>
              <w:tabs>
                <w:tab w:val="left" w:pos="8160"/>
              </w:tabs>
              <w:jc w:val="center"/>
              <w:rPr>
                <w:rFonts w:cs="FreeHand"/>
                <w:color w:val="00B050"/>
                <w:sz w:val="32"/>
                <w:szCs w:val="32"/>
                <w:lang w:bidi="ar-AE"/>
              </w:rPr>
            </w:pPr>
            <w:r w:rsidRPr="00897D9F">
              <w:rPr>
                <w:rFonts w:cs="FreeHand" w:hint="cs"/>
                <w:color w:val="00B050"/>
                <w:sz w:val="32"/>
                <w:szCs w:val="32"/>
                <w:rtl/>
                <w:lang w:bidi="ar-AE"/>
              </w:rPr>
              <w:t>22</w:t>
            </w:r>
          </w:p>
        </w:tc>
        <w:tc>
          <w:tcPr>
            <w:tcW w:w="4657" w:type="dxa"/>
          </w:tcPr>
          <w:p w:rsidR="00E55910" w:rsidRPr="00897D9F" w:rsidRDefault="00E55910" w:rsidP="00897D9F">
            <w:pPr>
              <w:tabs>
                <w:tab w:val="left" w:pos="8160"/>
              </w:tabs>
              <w:jc w:val="right"/>
              <w:cnfStyle w:val="000000000000"/>
              <w:rPr>
                <w:rFonts w:cs="FreeHand"/>
                <w:color w:val="9C5BCD"/>
                <w:sz w:val="32"/>
                <w:szCs w:val="32"/>
                <w:lang w:bidi="ar-AE"/>
              </w:rPr>
            </w:pPr>
            <w:r w:rsidRPr="00897D9F">
              <w:rPr>
                <w:rFonts w:cs="FreeHand" w:hint="cs"/>
                <w:color w:val="9C5BCD"/>
                <w:sz w:val="32"/>
                <w:szCs w:val="32"/>
                <w:rtl/>
                <w:lang w:bidi="ar-AE"/>
              </w:rPr>
              <w:t xml:space="preserve">المصادر والمراجع </w:t>
            </w:r>
          </w:p>
        </w:tc>
      </w:tr>
      <w:tr w:rsidR="00897D9F" w:rsidTr="00897D9F">
        <w:trPr>
          <w:cnfStyle w:val="000000100000"/>
          <w:trHeight w:val="686"/>
        </w:trPr>
        <w:tc>
          <w:tcPr>
            <w:cnfStyle w:val="001000000000"/>
            <w:tcW w:w="4656" w:type="dxa"/>
          </w:tcPr>
          <w:p w:rsidR="00897D9F" w:rsidRPr="00897D9F" w:rsidRDefault="00897D9F" w:rsidP="00897D9F">
            <w:pPr>
              <w:tabs>
                <w:tab w:val="left" w:pos="8160"/>
              </w:tabs>
              <w:jc w:val="center"/>
              <w:rPr>
                <w:rFonts w:cs="FreeHand"/>
                <w:color w:val="00B050"/>
                <w:sz w:val="32"/>
                <w:szCs w:val="32"/>
                <w:lang w:bidi="ar-AE"/>
              </w:rPr>
            </w:pPr>
            <w:r w:rsidRPr="00897D9F">
              <w:rPr>
                <w:rFonts w:cs="FreeHand" w:hint="cs"/>
                <w:color w:val="00B050"/>
                <w:sz w:val="32"/>
                <w:szCs w:val="32"/>
                <w:rtl/>
                <w:lang w:bidi="ar-AE"/>
              </w:rPr>
              <w:t>23</w:t>
            </w:r>
          </w:p>
        </w:tc>
        <w:tc>
          <w:tcPr>
            <w:tcW w:w="4657" w:type="dxa"/>
          </w:tcPr>
          <w:p w:rsidR="00897D9F" w:rsidRPr="00897D9F" w:rsidRDefault="00897D9F" w:rsidP="00897D9F">
            <w:pPr>
              <w:tabs>
                <w:tab w:val="left" w:pos="8160"/>
              </w:tabs>
              <w:jc w:val="right"/>
              <w:cnfStyle w:val="000000100000"/>
              <w:rPr>
                <w:rFonts w:cs="FreeHand"/>
                <w:color w:val="9C5BCD"/>
                <w:sz w:val="32"/>
                <w:szCs w:val="32"/>
                <w:lang w:bidi="ar-AE"/>
              </w:rPr>
            </w:pPr>
            <w:r w:rsidRPr="00897D9F">
              <w:rPr>
                <w:rFonts w:cs="FreeHand" w:hint="cs"/>
                <w:color w:val="9C5BCD"/>
                <w:sz w:val="32"/>
                <w:szCs w:val="32"/>
                <w:rtl/>
                <w:lang w:bidi="ar-AE"/>
              </w:rPr>
              <w:t>الفــــــــــــــــــهرس</w:t>
            </w:r>
          </w:p>
        </w:tc>
      </w:tr>
    </w:tbl>
    <w:p w:rsidR="00505D8F" w:rsidRPr="00E55910" w:rsidRDefault="00505D8F" w:rsidP="00E55910">
      <w:pPr>
        <w:tabs>
          <w:tab w:val="left" w:pos="8160"/>
        </w:tabs>
        <w:jc w:val="right"/>
        <w:rPr>
          <w:rFonts w:cs="Al-Mujahed Free"/>
          <w:color w:val="FF0066"/>
          <w:sz w:val="32"/>
          <w:szCs w:val="32"/>
          <w:rtl/>
          <w:lang w:bidi="ar-AE"/>
        </w:rPr>
      </w:pPr>
    </w:p>
    <w:sectPr w:rsidR="00505D8F" w:rsidRPr="00E55910" w:rsidSect="000E2F6A">
      <w:footerReference w:type="default" r:id="rId18"/>
      <w:pgSz w:w="11907" w:h="16556"/>
      <w:pgMar w:top="1440" w:right="1440" w:bottom="1440" w:left="1440" w:header="709" w:footer="709" w:gutter="0"/>
      <w:pgBorders w:offsetFrom="page">
        <w:top w:val="threeDEngrave" w:sz="24" w:space="24" w:color="00B050"/>
        <w:left w:val="threeDEngrave" w:sz="24" w:space="24" w:color="00B050"/>
        <w:bottom w:val="threeDEmboss" w:sz="24" w:space="24" w:color="00B050"/>
        <w:right w:val="threeDEmboss" w:sz="24"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F0C" w:rsidRDefault="00C00F0C" w:rsidP="00A42A5A">
      <w:pPr>
        <w:spacing w:after="0" w:line="240" w:lineRule="auto"/>
      </w:pPr>
      <w:r>
        <w:separator/>
      </w:r>
    </w:p>
  </w:endnote>
  <w:endnote w:type="continuationSeparator" w:id="0">
    <w:p w:rsidR="00C00F0C" w:rsidRDefault="00C00F0C" w:rsidP="00A42A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Mujahed Free">
    <w:panose1 w:val="00000000000000000000"/>
    <w:charset w:val="B2"/>
    <w:family w:val="auto"/>
    <w:pitch w:val="variable"/>
    <w:sig w:usb0="00002001" w:usb1="00000000" w:usb2="00000000" w:usb3="00000000" w:csb0="00000040" w:csb1="00000000"/>
  </w:font>
  <w:font w:name="MS Reference Sans Serif">
    <w:panose1 w:val="020B0604030504040204"/>
    <w:charset w:val="00"/>
    <w:family w:val="swiss"/>
    <w:pitch w:val="variable"/>
    <w:sig w:usb0="20000287" w:usb1="00000000" w:usb2="00000000" w:usb3="00000000" w:csb0="0000019F" w:csb1="00000000"/>
  </w:font>
  <w:font w:name="MT Extra">
    <w:panose1 w:val="05050102010205020202"/>
    <w:charset w:val="02"/>
    <w:family w:val="roman"/>
    <w:pitch w:val="variable"/>
    <w:sig w:usb0="00000000" w:usb1="10000000" w:usb2="00000000" w:usb3="00000000" w:csb0="80000000" w:csb1="00000000"/>
  </w:font>
  <w:font w:name="AGA Furat Regular">
    <w:panose1 w:val="00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FreeHan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65710"/>
      <w:docPartObj>
        <w:docPartGallery w:val="Page Numbers (Bottom of Page)"/>
        <w:docPartUnique/>
      </w:docPartObj>
    </w:sdtPr>
    <w:sdtContent>
      <w:p w:rsidR="00505D8F" w:rsidRDefault="00083148" w:rsidP="00511943">
        <w:pPr>
          <w:pStyle w:val="Footer"/>
          <w:tabs>
            <w:tab w:val="clear" w:pos="4513"/>
            <w:tab w:val="clear" w:pos="9026"/>
            <w:tab w:val="left" w:pos="3974"/>
          </w:tabs>
        </w:pPr>
        <w:r w:rsidRPr="00083148">
          <w:rPr>
            <w:noProof/>
            <w:lang w:val="en-US"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5122"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style="mso-next-textbox:#_x0000_s5122" inset=",0,,0">
                <w:txbxContent>
                  <w:p w:rsidR="00505D8F" w:rsidRDefault="00083148">
                    <w:pPr>
                      <w:jc w:val="center"/>
                    </w:pPr>
                    <w:fldSimple w:instr=" PAGE    \* MERGEFORMAT ">
                      <w:r w:rsidR="00E67B71">
                        <w:rPr>
                          <w:noProof/>
                        </w:rPr>
                        <w:t>18</w:t>
                      </w:r>
                    </w:fldSimple>
                  </w:p>
                </w:txbxContent>
              </v:textbox>
              <w10:wrap anchorx="margin" anchory="page"/>
            </v:shape>
          </w:pict>
        </w:r>
        <w:r w:rsidRPr="00083148">
          <w:rPr>
            <w:noProof/>
            <w:lang w:val="en-US" w:eastAsia="zh-TW"/>
          </w:rPr>
          <w:pict>
            <v:shapetype id="_x0000_t32" coordsize="21600,21600" o:spt="32" o:oned="t" path="m,l21600,21600e" filled="f">
              <v:path arrowok="t" fillok="f" o:connecttype="none"/>
              <o:lock v:ext="edit" shapetype="t"/>
            </v:shapetype>
            <v:shape id="_x0000_s5121"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r w:rsidR="00511943">
          <w:tab/>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F0C" w:rsidRDefault="00C00F0C" w:rsidP="00A42A5A">
      <w:pPr>
        <w:spacing w:after="0" w:line="240" w:lineRule="auto"/>
      </w:pPr>
      <w:r>
        <w:separator/>
      </w:r>
    </w:p>
  </w:footnote>
  <w:footnote w:type="continuationSeparator" w:id="0">
    <w:p w:rsidR="00C00F0C" w:rsidRDefault="00C00F0C" w:rsidP="00A42A5A">
      <w:pPr>
        <w:spacing w:after="0" w:line="240" w:lineRule="auto"/>
      </w:pPr>
      <w:r>
        <w:continuationSeparator/>
      </w:r>
    </w:p>
  </w:footnote>
  <w:footnote w:id="1">
    <w:p w:rsidR="0016024E" w:rsidRPr="00897D9F" w:rsidRDefault="0016024E" w:rsidP="00A42A5A">
      <w:pPr>
        <w:pStyle w:val="FootnoteText"/>
        <w:bidi/>
        <w:rPr>
          <w:rFonts w:cs="Al-Mujahed Free"/>
          <w:color w:val="00B050"/>
          <w:sz w:val="16"/>
          <w:szCs w:val="16"/>
          <w:rtl/>
        </w:rPr>
      </w:pPr>
      <w:r w:rsidRPr="00CD7DE6">
        <w:rPr>
          <w:rStyle w:val="FootnoteReference"/>
          <w:rFonts w:cs="Al-Mujahed Free"/>
          <w:color w:val="FF0000"/>
          <w:sz w:val="16"/>
          <w:szCs w:val="16"/>
        </w:rPr>
        <w:footnoteRef/>
      </w:r>
      <w:r w:rsidRPr="00CD7DE6">
        <w:rPr>
          <w:rFonts w:cs="Al-Mujahed Free"/>
          <w:sz w:val="16"/>
          <w:szCs w:val="16"/>
        </w:rPr>
        <w:t xml:space="preserve"> </w:t>
      </w:r>
      <w:r w:rsidRPr="00897D9F">
        <w:rPr>
          <w:rFonts w:ascii="Tahoma" w:eastAsia="Times New Roman" w:hAnsi="Tahoma" w:cs="Al-Mujahed Free"/>
          <w:color w:val="00B050"/>
          <w:sz w:val="16"/>
          <w:szCs w:val="16"/>
          <w:rtl/>
          <w:lang w:eastAsia="en-GB"/>
        </w:rPr>
        <w:t>يُنْظَر: - النقود، وظائفها الأساسية وأحكامها الشرعية، علاء الدين زعتري، دار قتيبة، دمشق، سورية، بيروت لبنان، الطبعة الأولى 1417ه/1996م، ص133- 134.</w:t>
      </w:r>
      <w:r w:rsidRPr="00897D9F">
        <w:rPr>
          <w:rFonts w:ascii="Tahoma" w:eastAsia="Times New Roman" w:hAnsi="Tahoma" w:cs="Al-Mujahed Free"/>
          <w:color w:val="00B050"/>
          <w:sz w:val="16"/>
          <w:szCs w:val="16"/>
          <w:rtl/>
          <w:lang w:eastAsia="en-GB"/>
        </w:rPr>
        <w:br/>
        <w:t>- ضوابط العقود في الفقه الإسلامي، د. عبد الحميد محمود البعلي، مؤسسة الشرق الدوحة قطر، عمان الأردن، الطبعة الأولى 1985م، ص9 – 10.</w:t>
      </w:r>
      <w:r w:rsidRPr="00897D9F">
        <w:rPr>
          <w:rFonts w:ascii="Tahoma" w:eastAsia="Times New Roman" w:hAnsi="Tahoma" w:cs="Al-Mujahed Free"/>
          <w:color w:val="00B050"/>
          <w:sz w:val="16"/>
          <w:szCs w:val="16"/>
          <w:rtl/>
          <w:lang w:eastAsia="en-GB"/>
        </w:rPr>
        <w:br/>
      </w:r>
    </w:p>
  </w:footnote>
  <w:footnote w:id="2">
    <w:p w:rsidR="0016024E" w:rsidRPr="00897D9F" w:rsidRDefault="0016024E" w:rsidP="00CD7DE6">
      <w:pPr>
        <w:pStyle w:val="FootnoteText"/>
        <w:bidi/>
        <w:rPr>
          <w:rFonts w:cs="Al-Mujahed Free"/>
          <w:color w:val="00B050"/>
          <w:sz w:val="16"/>
          <w:szCs w:val="16"/>
          <w:rtl/>
          <w:lang w:bidi="ar-AE"/>
        </w:rPr>
      </w:pPr>
      <w:r w:rsidRPr="00897D9F">
        <w:rPr>
          <w:rStyle w:val="FootnoteReference"/>
          <w:rFonts w:cs="Al-Mujahed Free"/>
          <w:color w:val="00B050"/>
          <w:sz w:val="16"/>
          <w:szCs w:val="16"/>
        </w:rPr>
        <w:footnoteRef/>
      </w:r>
      <w:r w:rsidRPr="00897D9F">
        <w:rPr>
          <w:rFonts w:cs="Al-Mujahed Free"/>
          <w:color w:val="00B050"/>
          <w:sz w:val="16"/>
          <w:szCs w:val="16"/>
        </w:rPr>
        <w:t xml:space="preserve"> </w:t>
      </w:r>
      <w:r w:rsidRPr="00897D9F">
        <w:rPr>
          <w:rFonts w:ascii="Tahoma" w:eastAsia="Times New Roman" w:hAnsi="Tahoma" w:cs="Al-Mujahed Free"/>
          <w:color w:val="00B050"/>
          <w:sz w:val="16"/>
          <w:szCs w:val="16"/>
          <w:rtl/>
          <w:lang w:eastAsia="en-GB"/>
        </w:rPr>
        <w:t>الفقه الإسلامي وأدلته، أ.د. وهبة الزحيلي، دار الفكر، دمشق، سورية، تصوير 1987م عن الطبعة الثانية 1405ه/1985م، 4/78.</w:t>
      </w:r>
    </w:p>
  </w:footnote>
  <w:footnote w:id="3">
    <w:p w:rsidR="0016024E" w:rsidRPr="00897D9F" w:rsidRDefault="0016024E" w:rsidP="00CD7DE6">
      <w:pPr>
        <w:pStyle w:val="FootnoteText"/>
        <w:bidi/>
        <w:rPr>
          <w:color w:val="00B050"/>
          <w:rtl/>
          <w:lang w:bidi="ar-AE"/>
        </w:rPr>
      </w:pPr>
      <w:r w:rsidRPr="00897D9F">
        <w:rPr>
          <w:rStyle w:val="FootnoteReference"/>
          <w:color w:val="00B050"/>
        </w:rPr>
        <w:footnoteRef/>
      </w:r>
      <w:r w:rsidRPr="00897D9F">
        <w:rPr>
          <w:color w:val="00B050"/>
        </w:rPr>
        <w:t xml:space="preserve"> </w:t>
      </w:r>
      <w:r w:rsidRPr="00897D9F">
        <w:rPr>
          <w:rFonts w:ascii="Tahoma" w:eastAsia="Times New Roman" w:hAnsi="Tahoma" w:cs="Al-Mujahed Free"/>
          <w:color w:val="00B050"/>
          <w:sz w:val="24"/>
          <w:szCs w:val="24"/>
          <w:rtl/>
          <w:lang w:eastAsia="en-GB"/>
        </w:rPr>
        <w:t xml:space="preserve"> </w:t>
      </w:r>
      <w:r w:rsidRPr="00897D9F">
        <w:rPr>
          <w:rFonts w:ascii="Tahoma" w:eastAsia="Times New Roman" w:hAnsi="Tahoma" w:cs="Al-Mujahed Free"/>
          <w:color w:val="00B050"/>
          <w:sz w:val="16"/>
          <w:szCs w:val="16"/>
          <w:rtl/>
          <w:lang w:eastAsia="en-GB"/>
        </w:rPr>
        <w:t>المصرف الإسلامي علمياً وعملياً، عبد السميع المصري، دار التضامن للطباعة، مكتبة وهبة، الطبعة الأولى 1408ه/1988م، ص73.</w:t>
      </w:r>
    </w:p>
  </w:footnote>
  <w:footnote w:id="4">
    <w:p w:rsidR="0016024E" w:rsidRDefault="0016024E" w:rsidP="00CD7DE6">
      <w:pPr>
        <w:pStyle w:val="FootnoteText"/>
        <w:bidi/>
        <w:rPr>
          <w:rtl/>
          <w:lang w:bidi="ar-AE"/>
        </w:rPr>
      </w:pPr>
      <w:r w:rsidRPr="00897D9F">
        <w:rPr>
          <w:rStyle w:val="FootnoteReference"/>
          <w:color w:val="00B050"/>
        </w:rPr>
        <w:footnoteRef/>
      </w:r>
      <w:r w:rsidRPr="00897D9F">
        <w:rPr>
          <w:color w:val="00B050"/>
        </w:rPr>
        <w:t xml:space="preserve"> </w:t>
      </w:r>
      <w:r w:rsidRPr="00897D9F">
        <w:rPr>
          <w:rFonts w:hint="cs"/>
          <w:color w:val="00B050"/>
          <w:rtl/>
          <w:lang w:bidi="ar-AE"/>
        </w:rPr>
        <w:t xml:space="preserve"> </w:t>
      </w:r>
      <w:r w:rsidRPr="00897D9F">
        <w:rPr>
          <w:rFonts w:ascii="Tahoma" w:eastAsia="Times New Roman" w:hAnsi="Tahoma" w:cs="Al-Mujahed Free"/>
          <w:color w:val="00B050"/>
          <w:sz w:val="24"/>
          <w:szCs w:val="24"/>
          <w:rtl/>
          <w:lang w:eastAsia="en-GB"/>
        </w:rPr>
        <w:t xml:space="preserve"> </w:t>
      </w:r>
      <w:r w:rsidRPr="00897D9F">
        <w:rPr>
          <w:rFonts w:ascii="Tahoma" w:eastAsia="Times New Roman" w:hAnsi="Tahoma" w:cs="Al-Mujahed Free"/>
          <w:color w:val="00B050"/>
          <w:sz w:val="16"/>
          <w:szCs w:val="16"/>
          <w:rtl/>
          <w:lang w:eastAsia="en-GB"/>
        </w:rPr>
        <w:t>سورة المائدة (5) الآية رقم (1).</w:t>
      </w:r>
    </w:p>
  </w:footnote>
  <w:footnote w:id="5">
    <w:p w:rsidR="0016024E" w:rsidRPr="00897D9F" w:rsidRDefault="0016024E" w:rsidP="004E08E7">
      <w:pPr>
        <w:pStyle w:val="FootnoteText"/>
        <w:bidi/>
        <w:rPr>
          <w:color w:val="00B050"/>
          <w:rtl/>
          <w:lang w:bidi="ar-AE"/>
        </w:rPr>
      </w:pPr>
      <w:r w:rsidRPr="004E08E7">
        <w:rPr>
          <w:rStyle w:val="FootnoteReference"/>
          <w:color w:val="FF0000"/>
        </w:rPr>
        <w:footnoteRef/>
      </w:r>
      <w:r>
        <w:t xml:space="preserve"> </w:t>
      </w:r>
      <w:r w:rsidRPr="004E08E7">
        <w:rPr>
          <w:rFonts w:ascii="Tahoma" w:eastAsia="Times New Roman" w:hAnsi="Tahoma" w:cs="Al-Mujahed Free"/>
          <w:color w:val="000066"/>
          <w:sz w:val="16"/>
          <w:szCs w:val="16"/>
          <w:rtl/>
          <w:lang w:eastAsia="en-GB"/>
        </w:rPr>
        <w:t xml:space="preserve"> </w:t>
      </w:r>
      <w:r w:rsidRPr="00897D9F">
        <w:rPr>
          <w:rFonts w:ascii="Tahoma" w:eastAsia="Times New Roman" w:hAnsi="Tahoma" w:cs="Al-Mujahed Free"/>
          <w:color w:val="00B050"/>
          <w:sz w:val="16"/>
          <w:szCs w:val="16"/>
          <w:rtl/>
          <w:lang w:eastAsia="en-GB"/>
        </w:rPr>
        <w:t>سورة الإسراء (17)، الآية رقم (34).</w:t>
      </w:r>
    </w:p>
  </w:footnote>
  <w:footnote w:id="6">
    <w:p w:rsidR="0016024E" w:rsidRPr="00897D9F" w:rsidRDefault="0016024E" w:rsidP="0016024E">
      <w:pPr>
        <w:pStyle w:val="FootnoteText"/>
        <w:bidi/>
        <w:rPr>
          <w:color w:val="00B050"/>
          <w:rtl/>
          <w:lang w:bidi="ar-AE"/>
        </w:rPr>
      </w:pPr>
      <w:r w:rsidRPr="00897D9F">
        <w:rPr>
          <w:rStyle w:val="FootnoteReference"/>
          <w:color w:val="00B050"/>
        </w:rPr>
        <w:footnoteRef/>
      </w:r>
      <w:r w:rsidRPr="00897D9F">
        <w:rPr>
          <w:color w:val="00B050"/>
        </w:rPr>
        <w:t xml:space="preserve"> </w:t>
      </w:r>
      <w:r w:rsidRPr="00897D9F">
        <w:rPr>
          <w:rFonts w:hint="cs"/>
          <w:color w:val="00B050"/>
          <w:rtl/>
        </w:rPr>
        <w:t xml:space="preserve"> </w:t>
      </w:r>
      <w:r w:rsidRPr="00897D9F">
        <w:rPr>
          <w:rFonts w:ascii="Tahoma" w:eastAsia="Times New Roman" w:hAnsi="Tahoma" w:cs="Al-Mujahed Free"/>
          <w:color w:val="00B050"/>
          <w:sz w:val="16"/>
          <w:szCs w:val="16"/>
          <w:rtl/>
          <w:lang w:eastAsia="en-GB"/>
        </w:rPr>
        <w:t>ضوابط العقود في الفقه الإسلامي، د. عبد الحميد محمود البعلي، ص11.</w:t>
      </w:r>
    </w:p>
  </w:footnote>
  <w:footnote w:id="7">
    <w:p w:rsidR="0016024E" w:rsidRPr="00897D9F" w:rsidRDefault="0016024E" w:rsidP="0016024E">
      <w:pPr>
        <w:pStyle w:val="FootnoteText"/>
        <w:bidi/>
        <w:rPr>
          <w:color w:val="00B050"/>
          <w:rtl/>
          <w:lang w:bidi="ar-AE"/>
        </w:rPr>
      </w:pPr>
      <w:r w:rsidRPr="00897D9F">
        <w:rPr>
          <w:rStyle w:val="FootnoteReference"/>
          <w:color w:val="00B050"/>
        </w:rPr>
        <w:footnoteRef/>
      </w:r>
      <w:r w:rsidRPr="00897D9F">
        <w:rPr>
          <w:color w:val="00B050"/>
        </w:rPr>
        <w:t xml:space="preserve"> </w:t>
      </w:r>
      <w:r w:rsidRPr="00897D9F">
        <w:rPr>
          <w:rFonts w:hint="cs"/>
          <w:color w:val="00B050"/>
          <w:rtl/>
          <w:lang w:bidi="ar-AE"/>
        </w:rPr>
        <w:t xml:space="preserve"> </w:t>
      </w:r>
      <w:r w:rsidRPr="00897D9F">
        <w:rPr>
          <w:rFonts w:ascii="Tahoma" w:eastAsia="Times New Roman" w:hAnsi="Tahoma" w:cs="Al-Mujahed Free"/>
          <w:color w:val="00B050"/>
          <w:sz w:val="16"/>
          <w:szCs w:val="16"/>
          <w:rtl/>
          <w:lang w:eastAsia="en-GB"/>
        </w:rPr>
        <w:t>سورة النحل (16)، الآية رقم (91).</w:t>
      </w:r>
    </w:p>
  </w:footnote>
  <w:footnote w:id="8">
    <w:p w:rsidR="0016024E" w:rsidRPr="00897D9F" w:rsidRDefault="0016024E" w:rsidP="0016024E">
      <w:pPr>
        <w:pStyle w:val="FootnoteText"/>
        <w:bidi/>
        <w:rPr>
          <w:color w:val="00B050"/>
          <w:rtl/>
          <w:lang w:bidi="ar-AE"/>
        </w:rPr>
      </w:pPr>
      <w:r w:rsidRPr="00897D9F">
        <w:rPr>
          <w:rFonts w:hint="cs"/>
          <w:color w:val="00B050"/>
          <w:rtl/>
        </w:rPr>
        <w:t xml:space="preserve"> </w:t>
      </w:r>
      <w:r w:rsidRPr="00897D9F">
        <w:rPr>
          <w:rStyle w:val="FootnoteReference"/>
          <w:color w:val="00B050"/>
        </w:rPr>
        <w:footnoteRef/>
      </w:r>
      <w:r w:rsidRPr="00897D9F">
        <w:rPr>
          <w:color w:val="00B050"/>
        </w:rPr>
        <w:t xml:space="preserve"> </w:t>
      </w:r>
      <w:r w:rsidRPr="00897D9F">
        <w:rPr>
          <w:rFonts w:hint="cs"/>
          <w:color w:val="00B050"/>
          <w:rtl/>
        </w:rPr>
        <w:t xml:space="preserve"> </w:t>
      </w:r>
      <w:r w:rsidRPr="00897D9F">
        <w:rPr>
          <w:rFonts w:ascii="Tahoma" w:eastAsia="Times New Roman" w:hAnsi="Tahoma" w:cs="Al-Mujahed Free"/>
          <w:color w:val="00B050"/>
          <w:sz w:val="16"/>
          <w:szCs w:val="16"/>
          <w:rtl/>
          <w:lang w:eastAsia="en-GB"/>
        </w:rPr>
        <w:t>سورة النساء (4)، الآية رقم (58).</w:t>
      </w:r>
    </w:p>
  </w:footnote>
  <w:footnote w:id="9">
    <w:p w:rsidR="0016024E" w:rsidRPr="00897D9F" w:rsidRDefault="0016024E" w:rsidP="0016024E">
      <w:pPr>
        <w:pStyle w:val="FootnoteText"/>
        <w:bidi/>
        <w:rPr>
          <w:color w:val="00B050"/>
          <w:rtl/>
          <w:lang w:bidi="ar-AE"/>
        </w:rPr>
      </w:pPr>
      <w:r w:rsidRPr="00897D9F">
        <w:rPr>
          <w:rStyle w:val="FootnoteReference"/>
          <w:color w:val="00B050"/>
        </w:rPr>
        <w:footnoteRef/>
      </w:r>
      <w:r w:rsidRPr="00897D9F">
        <w:rPr>
          <w:color w:val="00B050"/>
        </w:rPr>
        <w:t xml:space="preserve"> </w:t>
      </w:r>
      <w:r w:rsidRPr="00897D9F">
        <w:rPr>
          <w:rFonts w:hint="cs"/>
          <w:color w:val="00B050"/>
          <w:rtl/>
          <w:lang w:bidi="ar-AE"/>
        </w:rPr>
        <w:t xml:space="preserve"> </w:t>
      </w:r>
      <w:r w:rsidRPr="00897D9F">
        <w:rPr>
          <w:rFonts w:ascii="Tahoma" w:eastAsia="Times New Roman" w:hAnsi="Tahoma" w:cs="Al-Mujahed Free"/>
          <w:color w:val="00B050"/>
          <w:sz w:val="16"/>
          <w:szCs w:val="16"/>
          <w:rtl/>
          <w:lang w:eastAsia="en-GB"/>
        </w:rPr>
        <w:t>سورة الصف (61)، الآيتان رقم (2-3).</w:t>
      </w:r>
    </w:p>
  </w:footnote>
  <w:footnote w:id="10">
    <w:p w:rsidR="004552B1" w:rsidRPr="00897D9F" w:rsidRDefault="004552B1" w:rsidP="004552B1">
      <w:pPr>
        <w:pStyle w:val="FootnoteText"/>
        <w:bidi/>
        <w:rPr>
          <w:color w:val="00B050"/>
          <w:rtl/>
          <w:lang w:bidi="ar-AE"/>
        </w:rPr>
      </w:pPr>
      <w:r w:rsidRPr="00897D9F">
        <w:rPr>
          <w:rStyle w:val="FootnoteReference"/>
          <w:color w:val="00B050"/>
          <w:sz w:val="16"/>
          <w:szCs w:val="16"/>
          <w:vertAlign w:val="baseline"/>
        </w:rPr>
        <w:footnoteRef/>
      </w:r>
      <w:r w:rsidRPr="00897D9F">
        <w:rPr>
          <w:rFonts w:ascii="Tahoma" w:eastAsia="Times New Roman" w:hAnsi="Tahoma" w:cs="Al-Mujahed Free"/>
          <w:color w:val="00B050"/>
          <w:sz w:val="16"/>
          <w:szCs w:val="16"/>
          <w:rtl/>
          <w:lang w:eastAsia="en-GB"/>
        </w:rPr>
        <w:t>- صحيح البخاري، ضبط وترقيم د. مصطفى البغا،، مؤسسة علوم القرآن عجمان، اليمامة، دمشق، دار ابن كثير، دمشق، الطبعة الخامسة 1414ه/1993م، في كتاب الإيمان (2) باب: علامة المنافق (23)، حديث رقم (33)، 1/21.</w:t>
      </w:r>
    </w:p>
  </w:footnote>
  <w:footnote w:id="11">
    <w:p w:rsidR="004552B1" w:rsidRPr="00897D9F" w:rsidRDefault="004552B1" w:rsidP="004552B1">
      <w:pPr>
        <w:pStyle w:val="FootnoteText"/>
        <w:bidi/>
        <w:rPr>
          <w:color w:val="00B050"/>
          <w:sz w:val="18"/>
          <w:szCs w:val="18"/>
          <w:rtl/>
        </w:rPr>
      </w:pPr>
      <w:r w:rsidRPr="00897D9F">
        <w:rPr>
          <w:rStyle w:val="FootnoteReference"/>
          <w:color w:val="00B050"/>
        </w:rPr>
        <w:footnoteRef/>
      </w:r>
      <w:r w:rsidRPr="00897D9F">
        <w:rPr>
          <w:color w:val="00B050"/>
        </w:rPr>
        <w:t xml:space="preserve"> </w:t>
      </w:r>
      <w:r w:rsidRPr="00897D9F">
        <w:rPr>
          <w:rFonts w:ascii="Tahoma" w:eastAsia="Times New Roman" w:hAnsi="Tahoma" w:cs="Al-Mujahed Free"/>
          <w:color w:val="00B050"/>
          <w:sz w:val="16"/>
          <w:szCs w:val="16"/>
          <w:rtl/>
          <w:lang w:eastAsia="en-GB"/>
        </w:rPr>
        <w:t>- مسند الإمام أحمد، عن أنس بن مالك، حديث رقم (11975)، 3/135، وفي الطبعة الحديثة 3/594.</w:t>
      </w:r>
      <w:r w:rsidRPr="00897D9F">
        <w:rPr>
          <w:rFonts w:ascii="Tahoma" w:eastAsia="Times New Roman" w:hAnsi="Tahoma" w:cs="Al-Mujahed Free"/>
          <w:color w:val="00B050"/>
          <w:sz w:val="16"/>
          <w:szCs w:val="16"/>
          <w:rtl/>
          <w:lang w:eastAsia="en-GB"/>
        </w:rPr>
        <w:br/>
      </w:r>
    </w:p>
  </w:footnote>
  <w:footnote w:id="12">
    <w:p w:rsidR="00B93D75" w:rsidRPr="00897D9F" w:rsidRDefault="00B93D75" w:rsidP="00634C12">
      <w:pPr>
        <w:pStyle w:val="FootnoteText"/>
        <w:bidi/>
        <w:rPr>
          <w:color w:val="00B050"/>
          <w:rtl/>
        </w:rPr>
      </w:pPr>
      <w:r w:rsidRPr="00897D9F">
        <w:rPr>
          <w:rStyle w:val="FootnoteReference"/>
          <w:color w:val="00B050"/>
        </w:rPr>
        <w:footnoteRef/>
      </w:r>
      <w:r w:rsidRPr="00897D9F">
        <w:rPr>
          <w:color w:val="00B050"/>
        </w:rPr>
        <w:t xml:space="preserve"> </w:t>
      </w:r>
      <w:r w:rsidR="00634C12" w:rsidRPr="00897D9F">
        <w:rPr>
          <w:rFonts w:ascii="Tahoma" w:eastAsia="Times New Roman" w:hAnsi="Tahoma" w:cs="Al-Mujahed Free"/>
          <w:color w:val="00B050"/>
          <w:sz w:val="16"/>
          <w:szCs w:val="16"/>
          <w:rtl/>
          <w:lang w:eastAsia="en-GB"/>
        </w:rPr>
        <w:t>يُنْظَر: لسان العرب، ابن منظور، دار إحياء التراث العربي، ومؤسسة التاريخ العربي، بيروت، لبنان، الطبعة الثانية 1413ه/1993م، باب العين، 9/309 وما بعدها.</w:t>
      </w:r>
    </w:p>
  </w:footnote>
  <w:footnote w:id="13">
    <w:p w:rsidR="00B93D75" w:rsidRPr="00897D9F" w:rsidRDefault="00B93D75" w:rsidP="00634C12">
      <w:pPr>
        <w:pStyle w:val="FootnoteText"/>
        <w:bidi/>
        <w:rPr>
          <w:color w:val="00B050"/>
          <w:rtl/>
          <w:lang w:bidi="ar-AE"/>
        </w:rPr>
      </w:pPr>
      <w:r w:rsidRPr="00897D9F">
        <w:rPr>
          <w:rStyle w:val="FootnoteReference"/>
          <w:color w:val="00B050"/>
        </w:rPr>
        <w:footnoteRef/>
      </w:r>
      <w:r w:rsidRPr="00897D9F">
        <w:rPr>
          <w:color w:val="00B050"/>
        </w:rPr>
        <w:t xml:space="preserve"> </w:t>
      </w:r>
      <w:r w:rsidR="00634C12" w:rsidRPr="00897D9F">
        <w:rPr>
          <w:rFonts w:ascii="Tahoma" w:eastAsia="Times New Roman" w:hAnsi="Tahoma" w:cs="Al-Mujahed Free"/>
          <w:color w:val="00B050"/>
          <w:sz w:val="16"/>
          <w:szCs w:val="16"/>
          <w:rtl/>
          <w:lang w:eastAsia="en-GB"/>
        </w:rPr>
        <w:t>يُنْظَر: - الفقه الإسلامي وأدلته، أ.د. وهبة الزحيلي، 4/80.</w:t>
      </w:r>
    </w:p>
  </w:footnote>
  <w:footnote w:id="14">
    <w:p w:rsidR="00B93D75" w:rsidRPr="00897D9F" w:rsidRDefault="00B93D75" w:rsidP="00634C12">
      <w:pPr>
        <w:pStyle w:val="FootnoteText"/>
        <w:bidi/>
        <w:rPr>
          <w:rFonts w:ascii="Arabic Typesetting" w:hAnsi="Arabic Typesetting" w:cs="AGA Furat Regular"/>
          <w:color w:val="00B050"/>
          <w:sz w:val="14"/>
          <w:szCs w:val="14"/>
          <w:rtl/>
          <w:lang w:bidi="ar-AE"/>
        </w:rPr>
      </w:pPr>
      <w:r w:rsidRPr="00897D9F">
        <w:rPr>
          <w:rStyle w:val="FootnoteReference"/>
          <w:rFonts w:ascii="Arabic Typesetting" w:hAnsi="Arabic Typesetting" w:cs="Arabic Typesetting"/>
          <w:color w:val="00B050"/>
        </w:rPr>
        <w:footnoteRef/>
      </w:r>
      <w:r w:rsidRPr="00897D9F">
        <w:rPr>
          <w:rFonts w:ascii="Arabic Typesetting" w:hAnsi="Arabic Typesetting" w:cs="Arabic Typesetting"/>
          <w:color w:val="00B050"/>
        </w:rPr>
        <w:t xml:space="preserve"> </w:t>
      </w:r>
      <w:r w:rsidR="00634C12" w:rsidRPr="00897D9F">
        <w:rPr>
          <w:rFonts w:ascii="Arabic Typesetting" w:eastAsia="Times New Roman" w:hAnsi="Arabic Typesetting" w:cs="AGA Furat Regular"/>
          <w:color w:val="00B050"/>
          <w:sz w:val="14"/>
          <w:szCs w:val="14"/>
          <w:rtl/>
          <w:lang w:eastAsia="en-GB"/>
        </w:rPr>
        <w:t xml:space="preserve">المادة رقم (103 و 104) من مجلة الأحكام العدلية، مطبعة شعاركو، الطبعة الخامسة، 1388ه/1968 م. </w:t>
      </w:r>
    </w:p>
  </w:footnote>
  <w:footnote w:id="15">
    <w:p w:rsidR="00B93D75" w:rsidRPr="00897D9F" w:rsidRDefault="00B93D75" w:rsidP="00634C12">
      <w:pPr>
        <w:pStyle w:val="FootnoteText"/>
        <w:bidi/>
        <w:rPr>
          <w:rFonts w:ascii="Arabic Typesetting" w:hAnsi="Arabic Typesetting" w:cs="AGA Furat Regular"/>
          <w:color w:val="00B050"/>
          <w:sz w:val="14"/>
          <w:szCs w:val="14"/>
          <w:rtl/>
          <w:lang w:bidi="ar-AE"/>
        </w:rPr>
      </w:pPr>
      <w:r w:rsidRPr="00897D9F">
        <w:rPr>
          <w:rStyle w:val="FootnoteReference"/>
          <w:rFonts w:ascii="Arabic Typesetting" w:hAnsi="Arabic Typesetting" w:cs="AGA Furat Regular"/>
          <w:color w:val="00B050"/>
          <w:sz w:val="14"/>
          <w:szCs w:val="14"/>
        </w:rPr>
        <w:footnoteRef/>
      </w:r>
      <w:r w:rsidRPr="00897D9F">
        <w:rPr>
          <w:rFonts w:ascii="Arabic Typesetting" w:hAnsi="Arabic Typesetting" w:cs="AGA Furat Regular"/>
          <w:color w:val="00B050"/>
          <w:sz w:val="14"/>
          <w:szCs w:val="14"/>
        </w:rPr>
        <w:t xml:space="preserve"> </w:t>
      </w:r>
      <w:r w:rsidR="00634C12" w:rsidRPr="00897D9F">
        <w:rPr>
          <w:rFonts w:ascii="Arabic Typesetting" w:eastAsia="Times New Roman" w:hAnsi="Arabic Typesetting" w:cs="AGA Furat Regular"/>
          <w:color w:val="00B050"/>
          <w:sz w:val="14"/>
          <w:szCs w:val="14"/>
          <w:rtl/>
          <w:lang w:eastAsia="en-GB"/>
        </w:rPr>
        <w:t>شرح العناية على الهداية، أكمل الدين محمد بن محمود البابرتي، بهامش فتح القدير، المطبعة الكبرى الأميرية ببولاق مصر، الناشر دار صادر بيروت، الطبعة الأولى 1316ه، 5/74.</w:t>
      </w:r>
    </w:p>
  </w:footnote>
  <w:footnote w:id="16">
    <w:p w:rsidR="00B93D75" w:rsidRPr="00897D9F" w:rsidRDefault="00B93D75" w:rsidP="003C45B2">
      <w:pPr>
        <w:pStyle w:val="FootnoteText"/>
        <w:bidi/>
        <w:rPr>
          <w:rFonts w:ascii="Arabic Typesetting" w:hAnsi="Arabic Typesetting" w:cs="AGA Furat Regular"/>
          <w:color w:val="00B050"/>
          <w:sz w:val="14"/>
          <w:szCs w:val="14"/>
          <w:rtl/>
        </w:rPr>
      </w:pPr>
      <w:r w:rsidRPr="00897D9F">
        <w:rPr>
          <w:rStyle w:val="FootnoteReference"/>
          <w:rFonts w:ascii="Arabic Typesetting" w:hAnsi="Arabic Typesetting" w:cs="AGA Furat Regular"/>
          <w:color w:val="00B050"/>
          <w:sz w:val="14"/>
          <w:szCs w:val="14"/>
        </w:rPr>
        <w:footnoteRef/>
      </w:r>
      <w:r w:rsidR="003C45B2" w:rsidRPr="00897D9F">
        <w:rPr>
          <w:rFonts w:ascii="Arabic Typesetting" w:eastAsia="Times New Roman" w:hAnsi="Arabic Typesetting" w:cs="AGA Furat Regular"/>
          <w:color w:val="00B050"/>
          <w:sz w:val="14"/>
          <w:szCs w:val="14"/>
          <w:rtl/>
          <w:lang w:eastAsia="en-GB"/>
        </w:rPr>
        <w:t xml:space="preserve"> الوسيط في شرح القانون المدني، نظرية الالتزام، د. عبد الرزاق السنهوري، دكتوراه في العلوم القانونية والاقتصادية والسياسية، أضاف في حواشيها ما جدَّ بعد الطبعة الأولى من فقه وقضاء، الدكتور عبد الباسط جميعي أستاذ بكلية حقوق عين شمس، ومصطفى محمد الفقي رئيس محكمة، دار النهضة العربية، القاهرة، الطبعة الثانية 1964م، الفقرة 36، 1/149.</w:t>
      </w:r>
    </w:p>
  </w:footnote>
  <w:footnote w:id="17">
    <w:p w:rsidR="00B93D75" w:rsidRPr="00897D9F" w:rsidRDefault="00B93D75" w:rsidP="00634C12">
      <w:pPr>
        <w:pStyle w:val="FootnoteText"/>
        <w:bidi/>
        <w:rPr>
          <w:rFonts w:ascii="Arabic Typesetting" w:hAnsi="Arabic Typesetting" w:cs="AGA Furat Regular"/>
          <w:color w:val="00B050"/>
          <w:sz w:val="14"/>
          <w:szCs w:val="14"/>
          <w:rtl/>
          <w:lang w:bidi="ar-AE"/>
        </w:rPr>
      </w:pPr>
      <w:r w:rsidRPr="00897D9F">
        <w:rPr>
          <w:rStyle w:val="FootnoteReference"/>
          <w:rFonts w:ascii="Arabic Typesetting" w:hAnsi="Arabic Typesetting" w:cs="AGA Furat Regular"/>
          <w:color w:val="00B050"/>
          <w:sz w:val="14"/>
          <w:szCs w:val="14"/>
        </w:rPr>
        <w:footnoteRef/>
      </w:r>
      <w:r w:rsidRPr="00897D9F">
        <w:rPr>
          <w:rFonts w:ascii="Arabic Typesetting" w:hAnsi="Arabic Typesetting" w:cs="AGA Furat Regular"/>
          <w:color w:val="00B050"/>
          <w:sz w:val="14"/>
          <w:szCs w:val="14"/>
        </w:rPr>
        <w:t xml:space="preserve"> </w:t>
      </w:r>
      <w:r w:rsidR="003C45B2" w:rsidRPr="00897D9F">
        <w:rPr>
          <w:rFonts w:ascii="Arabic Typesetting" w:eastAsia="Times New Roman" w:hAnsi="Arabic Typesetting" w:cs="AGA Furat Regular"/>
          <w:color w:val="00B050"/>
          <w:sz w:val="14"/>
          <w:szCs w:val="14"/>
          <w:rtl/>
          <w:lang w:eastAsia="en-GB"/>
        </w:rPr>
        <w:t>المادة رقم (92). القانون المدني -السوري -، الصادر بالمرسوم التشريعي رقم 84 تاريخ 18/أيار/1949م، وتعديلاته، معدَّلاً ومضبوطاً على الأصل، إعداد وتنسيق ممدوح عطري، مساعد قضائي سابقاً، مؤسسة النوري، 1997م، ص 22.</w:t>
      </w:r>
    </w:p>
  </w:footnote>
  <w:footnote w:id="18">
    <w:p w:rsidR="00B93D75" w:rsidRPr="00897D9F" w:rsidRDefault="00B93D75" w:rsidP="00634C12">
      <w:pPr>
        <w:pStyle w:val="FootnoteText"/>
        <w:bidi/>
        <w:rPr>
          <w:rFonts w:ascii="Arabic Typesetting" w:hAnsi="Arabic Typesetting" w:cs="AGA Furat Regular"/>
          <w:color w:val="00B050"/>
          <w:sz w:val="14"/>
          <w:szCs w:val="14"/>
          <w:rtl/>
          <w:lang w:bidi="ar-AE"/>
        </w:rPr>
      </w:pPr>
      <w:r w:rsidRPr="00897D9F">
        <w:rPr>
          <w:rStyle w:val="FootnoteReference"/>
          <w:rFonts w:ascii="Arabic Typesetting" w:hAnsi="Arabic Typesetting" w:cs="AGA Furat Regular"/>
          <w:color w:val="00B050"/>
          <w:sz w:val="14"/>
          <w:szCs w:val="14"/>
        </w:rPr>
        <w:footnoteRef/>
      </w:r>
      <w:r w:rsidRPr="00897D9F">
        <w:rPr>
          <w:rFonts w:ascii="Arabic Typesetting" w:hAnsi="Arabic Typesetting" w:cs="AGA Furat Regular"/>
          <w:color w:val="00B050"/>
          <w:sz w:val="14"/>
          <w:szCs w:val="14"/>
        </w:rPr>
        <w:t xml:space="preserve"> </w:t>
      </w:r>
      <w:r w:rsidR="003C45B2" w:rsidRPr="00897D9F">
        <w:rPr>
          <w:rFonts w:ascii="Arabic Typesetting" w:eastAsia="Times New Roman" w:hAnsi="Arabic Typesetting" w:cs="AGA Furat Regular"/>
          <w:color w:val="00B050"/>
          <w:sz w:val="14"/>
          <w:szCs w:val="14"/>
          <w:rtl/>
          <w:lang w:eastAsia="en-GB"/>
        </w:rPr>
        <w:t>يُنْظَر: المدخل الفقهي العام، الفقه الإسلامي في ثوبه الجديد، مصطفى أحمد الزرقا، مطابع ألف باء الأديب، دمشق، الناشر دار الفكر، الطبعة التاسعة، 1967م، 1968م، الفقرة رقم (134)، 1/294 – 295.</w:t>
      </w:r>
    </w:p>
  </w:footnote>
  <w:footnote w:id="19">
    <w:p w:rsidR="00B93D75" w:rsidRPr="00897D9F" w:rsidRDefault="00B93D75" w:rsidP="003C45B2">
      <w:pPr>
        <w:pStyle w:val="FootnoteText"/>
        <w:bidi/>
        <w:rPr>
          <w:rFonts w:ascii="Arabic Typesetting" w:hAnsi="Arabic Typesetting" w:cs="AGA Furat Regular"/>
          <w:color w:val="00B050"/>
          <w:sz w:val="14"/>
          <w:szCs w:val="14"/>
          <w:rtl/>
        </w:rPr>
      </w:pPr>
      <w:r w:rsidRPr="00897D9F">
        <w:rPr>
          <w:rStyle w:val="FootnoteReference"/>
          <w:rFonts w:ascii="Arabic Typesetting" w:hAnsi="Arabic Typesetting" w:cs="AGA Furat Regular"/>
          <w:color w:val="00B050"/>
          <w:sz w:val="14"/>
          <w:szCs w:val="14"/>
        </w:rPr>
        <w:footnoteRef/>
      </w:r>
      <w:r w:rsidRPr="00897D9F">
        <w:rPr>
          <w:rFonts w:ascii="Arabic Typesetting" w:hAnsi="Arabic Typesetting" w:cs="AGA Furat Regular"/>
          <w:color w:val="00B050"/>
          <w:sz w:val="14"/>
          <w:szCs w:val="14"/>
        </w:rPr>
        <w:t xml:space="preserve"> </w:t>
      </w:r>
      <w:r w:rsidR="003C45B2" w:rsidRPr="00897D9F">
        <w:rPr>
          <w:rFonts w:ascii="Arabic Typesetting" w:eastAsia="Times New Roman" w:hAnsi="Arabic Typesetting" w:cs="AGA Furat Regular"/>
          <w:color w:val="00B050"/>
          <w:sz w:val="14"/>
          <w:szCs w:val="14"/>
          <w:rtl/>
          <w:lang w:eastAsia="en-GB"/>
        </w:rPr>
        <w:t xml:space="preserve"> يُنْظَر: الفقه الإسلامي وأدلته، أ.د. وهبة الزحيلي، 4/82. </w:t>
      </w:r>
    </w:p>
  </w:footnote>
  <w:footnote w:id="20">
    <w:p w:rsidR="00B93D75" w:rsidRPr="00897D9F" w:rsidRDefault="00B93D75" w:rsidP="003C45B2">
      <w:pPr>
        <w:pStyle w:val="FootnoteText"/>
        <w:bidi/>
        <w:rPr>
          <w:rFonts w:ascii="Arabic Typesetting" w:hAnsi="Arabic Typesetting" w:cs="AGA Furat Regular"/>
          <w:color w:val="00B050"/>
          <w:sz w:val="14"/>
          <w:szCs w:val="14"/>
          <w:rtl/>
          <w:lang w:bidi="ar-AE"/>
        </w:rPr>
      </w:pPr>
      <w:r w:rsidRPr="00897D9F">
        <w:rPr>
          <w:rStyle w:val="FootnoteReference"/>
          <w:rFonts w:ascii="Arabic Typesetting" w:hAnsi="Arabic Typesetting" w:cs="AGA Furat Regular"/>
          <w:color w:val="00B050"/>
          <w:sz w:val="14"/>
          <w:szCs w:val="14"/>
        </w:rPr>
        <w:footnoteRef/>
      </w:r>
      <w:r w:rsidRPr="00897D9F">
        <w:rPr>
          <w:rFonts w:ascii="Arabic Typesetting" w:hAnsi="Arabic Typesetting" w:cs="AGA Furat Regular"/>
          <w:color w:val="00B050"/>
          <w:sz w:val="14"/>
          <w:szCs w:val="14"/>
        </w:rPr>
        <w:t xml:space="preserve"> </w:t>
      </w:r>
      <w:r w:rsidR="003C45B2" w:rsidRPr="00897D9F">
        <w:rPr>
          <w:rFonts w:ascii="Arabic Typesetting" w:eastAsia="Times New Roman" w:hAnsi="Arabic Typesetting" w:cs="AGA Furat Regular"/>
          <w:color w:val="00B050"/>
          <w:sz w:val="14"/>
          <w:szCs w:val="14"/>
          <w:rtl/>
          <w:lang w:eastAsia="en-GB"/>
        </w:rPr>
        <w:t>هي: التزام عوض متقوم على معين أو مجهول عَسُر عمله. يُنْظَر: النقود، وظائفها الأساسية وأحكامها الشرعية، علاء الدين زعتري، ص 255 – 256.</w:t>
      </w:r>
    </w:p>
  </w:footnote>
  <w:footnote w:id="21">
    <w:p w:rsidR="00B93D75" w:rsidRPr="00897D9F" w:rsidRDefault="00B93D75" w:rsidP="003C45B2">
      <w:pPr>
        <w:pStyle w:val="FootnoteText"/>
        <w:bidi/>
        <w:rPr>
          <w:rFonts w:ascii="Arabic Typesetting" w:hAnsi="Arabic Typesetting" w:cs="AGA Furat Regular"/>
          <w:color w:val="00B050"/>
          <w:sz w:val="14"/>
          <w:szCs w:val="14"/>
          <w:rtl/>
          <w:lang w:bidi="ar-AE"/>
        </w:rPr>
      </w:pPr>
      <w:r w:rsidRPr="00897D9F">
        <w:rPr>
          <w:rStyle w:val="FootnoteReference"/>
          <w:rFonts w:ascii="Arabic Typesetting" w:hAnsi="Arabic Typesetting" w:cs="AGA Furat Regular"/>
          <w:color w:val="00B050"/>
          <w:sz w:val="14"/>
          <w:szCs w:val="14"/>
        </w:rPr>
        <w:footnoteRef/>
      </w:r>
      <w:r w:rsidRPr="00897D9F">
        <w:rPr>
          <w:rFonts w:ascii="Arabic Typesetting" w:hAnsi="Arabic Typesetting" w:cs="AGA Furat Regular"/>
          <w:color w:val="00B050"/>
          <w:sz w:val="14"/>
          <w:szCs w:val="14"/>
        </w:rPr>
        <w:t xml:space="preserve"> </w:t>
      </w:r>
      <w:r w:rsidR="003C45B2" w:rsidRPr="00897D9F">
        <w:rPr>
          <w:rFonts w:ascii="Arabic Typesetting" w:eastAsia="Times New Roman" w:hAnsi="Arabic Typesetting" w:cs="AGA Furat Regular"/>
          <w:color w:val="00B050"/>
          <w:sz w:val="14"/>
          <w:szCs w:val="14"/>
          <w:rtl/>
          <w:lang w:eastAsia="en-GB"/>
        </w:rPr>
        <w:t>هو: حبس مال يمكن الانتفاع به مع بقاء عينة، بقطع التصرف في رقبته، على مصرف مباح. القاموس الفقهي لغة واصطلاحاً، سعدي أبو جيب، دار الفكر، دمشق سورية، الطبعة الثانية 408ه/1988م، ص386.</w:t>
      </w:r>
    </w:p>
  </w:footnote>
  <w:footnote w:id="22">
    <w:p w:rsidR="00B93D75" w:rsidRPr="00897D9F" w:rsidRDefault="00B93D75" w:rsidP="000E72D2">
      <w:pPr>
        <w:pStyle w:val="FootnoteText"/>
        <w:bidi/>
        <w:rPr>
          <w:rFonts w:ascii="Arabic Typesetting" w:hAnsi="Arabic Typesetting" w:cs="AGA Furat Regular"/>
          <w:color w:val="00B050"/>
          <w:sz w:val="14"/>
          <w:szCs w:val="14"/>
          <w:rtl/>
        </w:rPr>
      </w:pPr>
      <w:r w:rsidRPr="00897D9F">
        <w:rPr>
          <w:rStyle w:val="FootnoteReference"/>
          <w:rFonts w:ascii="Arabic Typesetting" w:hAnsi="Arabic Typesetting" w:cs="AGA Furat Regular"/>
          <w:color w:val="00B050"/>
          <w:sz w:val="14"/>
          <w:szCs w:val="14"/>
        </w:rPr>
        <w:footnoteRef/>
      </w:r>
      <w:r w:rsidRPr="00897D9F">
        <w:rPr>
          <w:rFonts w:ascii="Arabic Typesetting" w:hAnsi="Arabic Typesetting" w:cs="AGA Furat Regular"/>
          <w:color w:val="00B050"/>
          <w:sz w:val="14"/>
          <w:szCs w:val="14"/>
        </w:rPr>
        <w:t xml:space="preserve"> </w:t>
      </w:r>
      <w:r w:rsidR="003C45B2" w:rsidRPr="00897D9F">
        <w:rPr>
          <w:rFonts w:ascii="Arabic Typesetting" w:eastAsia="Times New Roman" w:hAnsi="Arabic Typesetting" w:cs="AGA Furat Regular"/>
          <w:color w:val="00B050"/>
          <w:sz w:val="14"/>
          <w:szCs w:val="14"/>
          <w:rtl/>
          <w:lang w:eastAsia="en-GB"/>
        </w:rPr>
        <w:t>هو: إسقاط الحق عن الذمة. القاموس الفقهي، سعدي أبو جيب، ص 35.</w:t>
      </w:r>
    </w:p>
  </w:footnote>
  <w:footnote w:id="23">
    <w:p w:rsidR="00B93D75" w:rsidRPr="00897D9F" w:rsidRDefault="00B93D75" w:rsidP="003C45B2">
      <w:pPr>
        <w:pStyle w:val="FootnoteText"/>
        <w:bidi/>
        <w:rPr>
          <w:rFonts w:ascii="Arabic Typesetting" w:hAnsi="Arabic Typesetting" w:cs="AGA Furat Regular"/>
          <w:color w:val="00B050"/>
          <w:sz w:val="14"/>
          <w:szCs w:val="14"/>
          <w:rtl/>
          <w:lang w:bidi="ar-AE"/>
        </w:rPr>
      </w:pPr>
      <w:r w:rsidRPr="00897D9F">
        <w:rPr>
          <w:rStyle w:val="FootnoteReference"/>
          <w:rFonts w:ascii="Arabic Typesetting" w:hAnsi="Arabic Typesetting" w:cs="AGA Furat Regular"/>
          <w:color w:val="00B050"/>
          <w:sz w:val="14"/>
          <w:szCs w:val="14"/>
        </w:rPr>
        <w:footnoteRef/>
      </w:r>
      <w:r w:rsidRPr="00897D9F">
        <w:rPr>
          <w:rFonts w:ascii="Arabic Typesetting" w:hAnsi="Arabic Typesetting" w:cs="AGA Furat Regular"/>
          <w:color w:val="00B050"/>
          <w:sz w:val="14"/>
          <w:szCs w:val="14"/>
        </w:rPr>
        <w:t xml:space="preserve"> </w:t>
      </w:r>
      <w:r w:rsidR="000E72D2" w:rsidRPr="00897D9F">
        <w:rPr>
          <w:rFonts w:ascii="Arabic Typesetting" w:eastAsia="Times New Roman" w:hAnsi="Arabic Typesetting" w:cs="AGA Furat Regular"/>
          <w:color w:val="00B050"/>
          <w:sz w:val="14"/>
          <w:szCs w:val="14"/>
          <w:rtl/>
          <w:lang w:eastAsia="en-GB"/>
        </w:rPr>
        <w:t>هي: عقد يوجب حقاً في ثلث مال عاقده، يلزم بموته. القاموس الفقهي، سعدي أبو جيب، ص 382.</w:t>
      </w:r>
    </w:p>
  </w:footnote>
  <w:footnote w:id="24">
    <w:p w:rsidR="00B93D75" w:rsidRPr="00897D9F" w:rsidRDefault="00B93D75" w:rsidP="003C45B2">
      <w:pPr>
        <w:pStyle w:val="FootnoteText"/>
        <w:bidi/>
        <w:rPr>
          <w:rFonts w:ascii="Arabic Typesetting" w:hAnsi="Arabic Typesetting" w:cs="AGA Furat Regular"/>
          <w:color w:val="00B050"/>
          <w:sz w:val="14"/>
          <w:szCs w:val="14"/>
          <w:rtl/>
          <w:lang w:bidi="ar-AE"/>
        </w:rPr>
      </w:pPr>
      <w:r w:rsidRPr="00897D9F">
        <w:rPr>
          <w:rStyle w:val="FootnoteReference"/>
          <w:rFonts w:ascii="Arabic Typesetting" w:hAnsi="Arabic Typesetting" w:cs="AGA Furat Regular"/>
          <w:color w:val="00B050"/>
          <w:sz w:val="14"/>
          <w:szCs w:val="14"/>
        </w:rPr>
        <w:footnoteRef/>
      </w:r>
      <w:r w:rsidRPr="00897D9F">
        <w:rPr>
          <w:rFonts w:ascii="Arabic Typesetting" w:hAnsi="Arabic Typesetting" w:cs="AGA Furat Regular"/>
          <w:color w:val="00B050"/>
          <w:sz w:val="14"/>
          <w:szCs w:val="14"/>
        </w:rPr>
        <w:t xml:space="preserve"> </w:t>
      </w:r>
      <w:r w:rsidR="000E72D2" w:rsidRPr="00897D9F">
        <w:rPr>
          <w:rFonts w:ascii="Arabic Typesetting" w:eastAsia="Times New Roman" w:hAnsi="Arabic Typesetting" w:cs="AGA Furat Regular"/>
          <w:color w:val="00B050"/>
          <w:sz w:val="14"/>
          <w:szCs w:val="14"/>
          <w:rtl/>
          <w:lang w:eastAsia="en-GB"/>
        </w:rPr>
        <w:t>هو: عقد قوي به عزم الحالف على الفعل، أو الترك. القاموس الفقهي، سعدي أبو جيب، ص395.</w:t>
      </w:r>
    </w:p>
  </w:footnote>
  <w:footnote w:id="25">
    <w:p w:rsidR="00B93D75" w:rsidRPr="00D73CF7" w:rsidRDefault="00B93D75" w:rsidP="003C45B2">
      <w:pPr>
        <w:pStyle w:val="FootnoteText"/>
        <w:bidi/>
        <w:rPr>
          <w:rFonts w:ascii="Arabic Typesetting" w:hAnsi="Arabic Typesetting" w:cs="Arabic Typesetting"/>
          <w:rtl/>
          <w:lang w:bidi="ar-AE"/>
        </w:rPr>
      </w:pPr>
      <w:r w:rsidRPr="00897D9F">
        <w:rPr>
          <w:rStyle w:val="FootnoteReference"/>
          <w:rFonts w:ascii="Arabic Typesetting" w:hAnsi="Arabic Typesetting" w:cs="AGA Furat Regular"/>
          <w:color w:val="00B050"/>
          <w:sz w:val="14"/>
          <w:szCs w:val="14"/>
        </w:rPr>
        <w:footnoteRef/>
      </w:r>
      <w:r w:rsidRPr="00897D9F">
        <w:rPr>
          <w:rFonts w:ascii="Arabic Typesetting" w:hAnsi="Arabic Typesetting" w:cs="AGA Furat Regular"/>
          <w:color w:val="00B050"/>
          <w:sz w:val="14"/>
          <w:szCs w:val="14"/>
        </w:rPr>
        <w:t xml:space="preserve"> </w:t>
      </w:r>
      <w:r w:rsidR="000E72D2" w:rsidRPr="00897D9F">
        <w:rPr>
          <w:rFonts w:ascii="Arabic Typesetting" w:eastAsia="Times New Roman" w:hAnsi="Arabic Typesetting" w:cs="AGA Furat Regular"/>
          <w:color w:val="00B050"/>
          <w:sz w:val="14"/>
          <w:szCs w:val="14"/>
          <w:rtl/>
          <w:lang w:eastAsia="en-GB"/>
        </w:rPr>
        <w:t>هي: ضم ذمة الكفيل إلى ذمة الأصيل في المطالبة مطلقاً: بنفس، أو دين، أو بعَين. القاموس الفقهي، سعدي أبو جيب، ص322.</w:t>
      </w:r>
    </w:p>
  </w:footnote>
  <w:footnote w:id="26">
    <w:p w:rsidR="00B93D75" w:rsidRPr="00897D9F" w:rsidRDefault="00B93D75" w:rsidP="000E72D2">
      <w:pPr>
        <w:pStyle w:val="FootnoteText"/>
        <w:bidi/>
        <w:rPr>
          <w:rFonts w:cs="AGA Furat Regular"/>
          <w:color w:val="00B050"/>
          <w:sz w:val="14"/>
          <w:szCs w:val="14"/>
          <w:rtl/>
          <w:lang w:bidi="ar-AE"/>
        </w:rPr>
      </w:pPr>
      <w:r w:rsidRPr="00897D9F">
        <w:rPr>
          <w:rStyle w:val="FootnoteReference"/>
          <w:rFonts w:cs="AGA Furat Regular"/>
          <w:color w:val="00B050"/>
          <w:sz w:val="14"/>
          <w:szCs w:val="14"/>
        </w:rPr>
        <w:footnoteRef/>
      </w:r>
      <w:r w:rsidRPr="00897D9F">
        <w:rPr>
          <w:rFonts w:cs="AGA Furat Regular"/>
          <w:color w:val="00B050"/>
          <w:sz w:val="14"/>
          <w:szCs w:val="14"/>
        </w:rPr>
        <w:t xml:space="preserve"> </w:t>
      </w:r>
      <w:r w:rsidR="000E72D2" w:rsidRPr="00897D9F">
        <w:rPr>
          <w:rFonts w:ascii="Tahoma" w:eastAsia="Times New Roman" w:hAnsi="Tahoma" w:cs="AGA Furat Regular"/>
          <w:color w:val="00B050"/>
          <w:sz w:val="14"/>
          <w:szCs w:val="14"/>
          <w:rtl/>
          <w:lang w:eastAsia="en-GB"/>
        </w:rPr>
        <w:t>يمكن معرفة رأي رجال القانون بقراءة:</w:t>
      </w:r>
    </w:p>
  </w:footnote>
  <w:footnote w:id="27">
    <w:p w:rsidR="00B93D75" w:rsidRPr="00897D9F" w:rsidRDefault="00B93D75" w:rsidP="003C45B2">
      <w:pPr>
        <w:pStyle w:val="FootnoteText"/>
        <w:bidi/>
        <w:rPr>
          <w:rFonts w:cs="AGA Furat Regular"/>
          <w:color w:val="00B050"/>
          <w:sz w:val="14"/>
          <w:szCs w:val="14"/>
          <w:rtl/>
          <w:lang w:bidi="ar-AE"/>
        </w:rPr>
      </w:pPr>
      <w:r w:rsidRPr="00897D9F">
        <w:rPr>
          <w:rStyle w:val="FootnoteReference"/>
          <w:rFonts w:cs="AGA Furat Regular"/>
          <w:color w:val="00B050"/>
          <w:sz w:val="14"/>
          <w:szCs w:val="14"/>
        </w:rPr>
        <w:footnoteRef/>
      </w:r>
      <w:r w:rsidRPr="00897D9F">
        <w:rPr>
          <w:rFonts w:cs="AGA Furat Regular"/>
          <w:color w:val="00B050"/>
          <w:sz w:val="14"/>
          <w:szCs w:val="14"/>
        </w:rPr>
        <w:t xml:space="preserve"> </w:t>
      </w:r>
      <w:r w:rsidR="000E72D2" w:rsidRPr="00897D9F">
        <w:rPr>
          <w:rFonts w:ascii="Tahoma" w:eastAsia="Times New Roman" w:hAnsi="Tahoma" w:cs="AGA Furat Regular"/>
          <w:color w:val="00B050"/>
          <w:sz w:val="14"/>
          <w:szCs w:val="14"/>
          <w:rtl/>
          <w:lang w:eastAsia="en-GB"/>
        </w:rPr>
        <w:t>يُنْظَر: العقود المسماة، البيع، المقايضة، الإيجار، القانون المدني المقارن بالفقه الإسلامي، أ. د. محمد الزحيلي، الأستاذ بكلية الشريعة، جامعة دمشق، منشورات جامعة دمشق، الطبعة الرابعة، 1414ه-1415ه/1993م-1994م، ص 13.</w:t>
      </w:r>
    </w:p>
  </w:footnote>
  <w:footnote w:id="28">
    <w:p w:rsidR="00B93D75" w:rsidRPr="00897D9F" w:rsidRDefault="00B93D75" w:rsidP="000E72D2">
      <w:pPr>
        <w:pStyle w:val="FootnoteText"/>
        <w:bidi/>
        <w:rPr>
          <w:rFonts w:cs="AGA Furat Regular"/>
          <w:color w:val="00B050"/>
          <w:sz w:val="14"/>
          <w:szCs w:val="14"/>
          <w:rtl/>
          <w:lang w:bidi="ar-AE"/>
        </w:rPr>
      </w:pPr>
      <w:r w:rsidRPr="00897D9F">
        <w:rPr>
          <w:rStyle w:val="FootnoteReference"/>
          <w:rFonts w:cs="AGA Furat Regular"/>
          <w:color w:val="00B050"/>
          <w:sz w:val="14"/>
          <w:szCs w:val="14"/>
        </w:rPr>
        <w:footnoteRef/>
      </w:r>
      <w:r w:rsidRPr="00897D9F">
        <w:rPr>
          <w:rFonts w:cs="AGA Furat Regular"/>
          <w:color w:val="00B050"/>
          <w:sz w:val="14"/>
          <w:szCs w:val="14"/>
        </w:rPr>
        <w:t xml:space="preserve"> </w:t>
      </w:r>
      <w:r w:rsidR="000E72D2" w:rsidRPr="00897D9F">
        <w:rPr>
          <w:rFonts w:ascii="Tahoma" w:eastAsia="Times New Roman" w:hAnsi="Tahoma" w:cs="AGA Furat Regular"/>
          <w:color w:val="00B050"/>
          <w:sz w:val="14"/>
          <w:szCs w:val="14"/>
          <w:rtl/>
          <w:lang w:eastAsia="en-GB"/>
        </w:rPr>
        <w:t>سورة المائدة (5)، الآية رقم (1).</w:t>
      </w:r>
    </w:p>
  </w:footnote>
  <w:footnote w:id="29">
    <w:p w:rsidR="00B93D75" w:rsidRPr="00897D9F" w:rsidRDefault="00B93D75" w:rsidP="003C45B2">
      <w:pPr>
        <w:pStyle w:val="FootnoteText"/>
        <w:bidi/>
        <w:rPr>
          <w:rFonts w:cs="AGA Furat Regular"/>
          <w:color w:val="00B050"/>
          <w:sz w:val="14"/>
          <w:szCs w:val="14"/>
          <w:rtl/>
          <w:lang w:bidi="ar-AE"/>
        </w:rPr>
      </w:pPr>
      <w:r w:rsidRPr="00897D9F">
        <w:rPr>
          <w:rStyle w:val="FootnoteReference"/>
          <w:rFonts w:cs="AGA Furat Regular"/>
          <w:color w:val="00B050"/>
          <w:sz w:val="14"/>
          <w:szCs w:val="14"/>
        </w:rPr>
        <w:footnoteRef/>
      </w:r>
      <w:r w:rsidRPr="00897D9F">
        <w:rPr>
          <w:rFonts w:cs="AGA Furat Regular"/>
          <w:color w:val="00B050"/>
          <w:sz w:val="14"/>
          <w:szCs w:val="14"/>
        </w:rPr>
        <w:t xml:space="preserve"> </w:t>
      </w:r>
      <w:r w:rsidR="000E72D2" w:rsidRPr="00897D9F">
        <w:rPr>
          <w:rFonts w:ascii="Tahoma" w:eastAsia="Times New Roman" w:hAnsi="Tahoma" w:cs="AGA Furat Regular"/>
          <w:color w:val="00B050"/>
          <w:sz w:val="14"/>
          <w:szCs w:val="14"/>
          <w:rtl/>
          <w:lang w:eastAsia="en-GB"/>
        </w:rPr>
        <w:t>سورة الإسراء (17)، الآية رقم (34).</w:t>
      </w:r>
    </w:p>
  </w:footnote>
  <w:footnote w:id="30">
    <w:p w:rsidR="00B93D75" w:rsidRPr="00897D9F" w:rsidRDefault="00B93D75" w:rsidP="000E72D2">
      <w:pPr>
        <w:pStyle w:val="FootnoteText"/>
        <w:bidi/>
        <w:rPr>
          <w:rFonts w:cs="AGA Furat Regular"/>
          <w:color w:val="00B050"/>
          <w:sz w:val="14"/>
          <w:szCs w:val="14"/>
          <w:rtl/>
        </w:rPr>
      </w:pPr>
      <w:r w:rsidRPr="00897D9F">
        <w:rPr>
          <w:rStyle w:val="FootnoteReference"/>
          <w:rFonts w:cs="AGA Furat Regular"/>
          <w:color w:val="00B050"/>
          <w:sz w:val="14"/>
          <w:szCs w:val="14"/>
        </w:rPr>
        <w:footnoteRef/>
      </w:r>
      <w:r w:rsidRPr="00897D9F">
        <w:rPr>
          <w:rFonts w:cs="AGA Furat Regular"/>
          <w:color w:val="00B050"/>
          <w:sz w:val="14"/>
          <w:szCs w:val="14"/>
        </w:rPr>
        <w:t xml:space="preserve"> </w:t>
      </w:r>
      <w:r w:rsidR="000E72D2" w:rsidRPr="00897D9F">
        <w:rPr>
          <w:rFonts w:ascii="Tahoma" w:eastAsia="Times New Roman" w:hAnsi="Tahoma" w:cs="AGA Furat Regular"/>
          <w:color w:val="00B050"/>
          <w:sz w:val="14"/>
          <w:szCs w:val="14"/>
          <w:rtl/>
          <w:lang w:eastAsia="en-GB"/>
        </w:rPr>
        <w:t xml:space="preserve"> سبق تخريجه في ص 3 من هذا البحث.</w:t>
      </w:r>
    </w:p>
  </w:footnote>
  <w:footnote w:id="31">
    <w:p w:rsidR="00B93D75" w:rsidRPr="00897D9F" w:rsidRDefault="00B93D75" w:rsidP="000E72D2">
      <w:pPr>
        <w:pStyle w:val="FootnoteText"/>
        <w:bidi/>
        <w:rPr>
          <w:rFonts w:cs="AGA Furat Regular"/>
          <w:color w:val="00B050"/>
          <w:sz w:val="14"/>
          <w:szCs w:val="14"/>
          <w:rtl/>
          <w:lang w:bidi="ar-AE"/>
        </w:rPr>
      </w:pPr>
      <w:r w:rsidRPr="00897D9F">
        <w:rPr>
          <w:rStyle w:val="FootnoteReference"/>
          <w:rFonts w:cs="AGA Furat Regular"/>
          <w:color w:val="00B050"/>
          <w:sz w:val="14"/>
          <w:szCs w:val="14"/>
        </w:rPr>
        <w:footnoteRef/>
      </w:r>
      <w:r w:rsidRPr="00897D9F">
        <w:rPr>
          <w:rFonts w:cs="AGA Furat Regular"/>
          <w:color w:val="00B050"/>
          <w:sz w:val="14"/>
          <w:szCs w:val="14"/>
        </w:rPr>
        <w:t xml:space="preserve"> </w:t>
      </w:r>
      <w:r w:rsidR="000E72D2" w:rsidRPr="00897D9F">
        <w:rPr>
          <w:rFonts w:ascii="Tahoma" w:eastAsia="Times New Roman" w:hAnsi="Tahoma" w:cs="AGA Furat Regular"/>
          <w:color w:val="00B050"/>
          <w:sz w:val="14"/>
          <w:szCs w:val="14"/>
          <w:rtl/>
          <w:lang w:eastAsia="en-GB"/>
        </w:rPr>
        <w:t>سورة الصف (61)، الآيتان رقم (2-3).</w:t>
      </w:r>
    </w:p>
  </w:footnote>
  <w:footnote w:id="32">
    <w:p w:rsidR="00B93D75" w:rsidRPr="00897D9F" w:rsidRDefault="000E72D2" w:rsidP="000E72D2">
      <w:pPr>
        <w:pStyle w:val="FootnoteText"/>
        <w:bidi/>
        <w:rPr>
          <w:rFonts w:cs="AGA Furat Regular"/>
          <w:color w:val="00B050"/>
          <w:sz w:val="14"/>
          <w:szCs w:val="14"/>
          <w:rtl/>
          <w:lang w:bidi="ar-AE"/>
        </w:rPr>
      </w:pPr>
      <w:r w:rsidRPr="00897D9F">
        <w:rPr>
          <w:rFonts w:ascii="Tahoma" w:eastAsia="Times New Roman" w:hAnsi="Tahoma" w:cs="AGA Furat Regular"/>
          <w:color w:val="00B050"/>
          <w:sz w:val="14"/>
          <w:szCs w:val="14"/>
          <w:rtl/>
          <w:lang w:eastAsia="en-GB"/>
        </w:rPr>
        <w:t>هو عبد الله بن شبرمة الضبي القاضي، الفقيه، كان عفيفاً، صارماً، عاقلاً، شاعراً جواداً، توفي سنة 144ه. شذرات الذهب في أخبار مَن ذهب، أبو الفلاح عبد الحي ابن العماد الحنبلي، دار المسيرة، بيروت، لبنان، الطبعة الثانية 1399ه/1979م، 1/215 – 216.</w:t>
      </w:r>
      <w:r w:rsidR="00B93D75" w:rsidRPr="00897D9F">
        <w:rPr>
          <w:rStyle w:val="FootnoteReference"/>
          <w:rFonts w:cs="AGA Furat Regular"/>
          <w:color w:val="00B050"/>
          <w:sz w:val="14"/>
          <w:szCs w:val="14"/>
        </w:rPr>
        <w:footnoteRef/>
      </w:r>
      <w:r w:rsidR="00B93D75" w:rsidRPr="00897D9F">
        <w:rPr>
          <w:rFonts w:cs="AGA Furat Regular"/>
          <w:color w:val="00B050"/>
          <w:sz w:val="14"/>
          <w:szCs w:val="14"/>
        </w:rPr>
        <w:t xml:space="preserve"> </w:t>
      </w:r>
    </w:p>
  </w:footnote>
  <w:footnote w:id="33">
    <w:p w:rsidR="00B93D75" w:rsidRPr="00897D9F" w:rsidRDefault="00B93D75" w:rsidP="000E72D2">
      <w:pPr>
        <w:pStyle w:val="FootnoteText"/>
        <w:bidi/>
        <w:rPr>
          <w:rFonts w:cs="AGA Furat Regular"/>
          <w:color w:val="00B050"/>
          <w:sz w:val="14"/>
          <w:szCs w:val="14"/>
          <w:rtl/>
          <w:lang w:bidi="ar-AE"/>
        </w:rPr>
      </w:pPr>
      <w:r w:rsidRPr="00897D9F">
        <w:rPr>
          <w:rStyle w:val="FootnoteReference"/>
          <w:rFonts w:cs="AGA Furat Regular"/>
          <w:color w:val="00B050"/>
          <w:sz w:val="14"/>
          <w:szCs w:val="14"/>
        </w:rPr>
        <w:footnoteRef/>
      </w:r>
      <w:r w:rsidRPr="00897D9F">
        <w:rPr>
          <w:rFonts w:cs="AGA Furat Regular"/>
          <w:color w:val="00B050"/>
          <w:sz w:val="14"/>
          <w:szCs w:val="14"/>
        </w:rPr>
        <w:t xml:space="preserve"> </w:t>
      </w:r>
      <w:r w:rsidR="000E72D2" w:rsidRPr="00897D9F">
        <w:rPr>
          <w:rFonts w:ascii="Tahoma" w:eastAsia="Times New Roman" w:hAnsi="Tahoma" w:cs="AGA Furat Regular"/>
          <w:color w:val="00B050"/>
          <w:sz w:val="14"/>
          <w:szCs w:val="14"/>
          <w:rtl/>
          <w:lang w:eastAsia="en-GB"/>
        </w:rPr>
        <w:t>علي بن أحمد، أبو محمد، عالم الأندلس في عصره، أحد أئمة الإسلام، ولد بقرطبة سنة (384ه= 994م)، وتوفي في بادية لبلة – من بلاد الأندلس- سنة (456ه= 1064م). يُنْظَر: الأعلام، الزركلي، 4/254.</w:t>
      </w:r>
    </w:p>
  </w:footnote>
  <w:footnote w:id="34">
    <w:p w:rsidR="00B93D75" w:rsidRPr="00897D9F" w:rsidRDefault="00B93D75" w:rsidP="000E72D2">
      <w:pPr>
        <w:pStyle w:val="FootnoteText"/>
        <w:bidi/>
        <w:rPr>
          <w:rFonts w:cs="AGA Furat Regular"/>
          <w:color w:val="00B050"/>
          <w:sz w:val="14"/>
          <w:szCs w:val="14"/>
          <w:rtl/>
        </w:rPr>
      </w:pPr>
      <w:r w:rsidRPr="00897D9F">
        <w:rPr>
          <w:rStyle w:val="FootnoteReference"/>
          <w:rFonts w:cs="AGA Furat Regular"/>
          <w:color w:val="00B050"/>
          <w:sz w:val="14"/>
          <w:szCs w:val="14"/>
        </w:rPr>
        <w:footnoteRef/>
      </w:r>
      <w:r w:rsidRPr="00897D9F">
        <w:rPr>
          <w:rFonts w:cs="AGA Furat Regular"/>
          <w:color w:val="00B050"/>
          <w:sz w:val="14"/>
          <w:szCs w:val="14"/>
        </w:rPr>
        <w:t xml:space="preserve"> </w:t>
      </w:r>
      <w:r w:rsidR="000E72D2" w:rsidRPr="00897D9F">
        <w:rPr>
          <w:rFonts w:ascii="Tahoma" w:eastAsia="Times New Roman" w:hAnsi="Tahoma" w:cs="AGA Furat Regular"/>
          <w:color w:val="00B050"/>
          <w:sz w:val="14"/>
          <w:szCs w:val="14"/>
          <w:rtl/>
          <w:lang w:eastAsia="en-GB"/>
        </w:rPr>
        <w:t>أحمد بن إدريس، شهاب الدين الصنهاجي القرافي: من علماء المالكية، مصري المولد والمنشأ والوفاة، توفي في جمادى الآخرة سنة 684ه، له مصنفات جليلة في الفقه والأصول. شجرة النور الزكية في طبقات المالكية، محمد بن محمد مخلوف، دار الفكر، د.ت، رقم الترجمة (627)، ص188- 189.</w:t>
      </w:r>
    </w:p>
  </w:footnote>
  <w:footnote w:id="35">
    <w:p w:rsidR="00B93D75" w:rsidRDefault="00B93D75" w:rsidP="000E72D2">
      <w:pPr>
        <w:pStyle w:val="FootnoteText"/>
        <w:bidi/>
        <w:rPr>
          <w:rtl/>
        </w:rPr>
      </w:pPr>
      <w:r w:rsidRPr="00897D9F">
        <w:rPr>
          <w:rStyle w:val="FootnoteReference"/>
          <w:rFonts w:cs="AGA Furat Regular"/>
          <w:color w:val="00B050"/>
          <w:sz w:val="14"/>
          <w:szCs w:val="14"/>
        </w:rPr>
        <w:footnoteRef/>
      </w:r>
      <w:r w:rsidRPr="00897D9F">
        <w:rPr>
          <w:rFonts w:cs="AGA Furat Regular"/>
          <w:color w:val="00B050"/>
          <w:sz w:val="14"/>
          <w:szCs w:val="14"/>
        </w:rPr>
        <w:t xml:space="preserve"> </w:t>
      </w:r>
      <w:r w:rsidR="000E72D2" w:rsidRPr="00897D9F">
        <w:rPr>
          <w:rFonts w:ascii="Tahoma" w:eastAsia="Times New Roman" w:hAnsi="Tahoma" w:cs="AGA Furat Regular"/>
          <w:color w:val="00B050"/>
          <w:sz w:val="14"/>
          <w:szCs w:val="14"/>
          <w:rtl/>
          <w:lang w:eastAsia="en-GB"/>
        </w:rPr>
        <w:t>يُنْظَر: - المحلى بالآثار، الإمام علي بن أحمد ابن حزم الأندلسي، تحقيق الدكتور عبد الغفار سليمان البنداري، دار الكتب العلمية، بيروت، لبنان، د.ت، مسألة رقم 1126، 6/278.</w:t>
      </w:r>
    </w:p>
  </w:footnote>
  <w:footnote w:id="36">
    <w:p w:rsidR="00B93D75" w:rsidRDefault="00B93D75" w:rsidP="000E72D2">
      <w:pPr>
        <w:pStyle w:val="FootnoteText"/>
        <w:bidi/>
        <w:rPr>
          <w:rtl/>
          <w:lang w:bidi="ar-AE"/>
        </w:rPr>
      </w:pPr>
      <w:r>
        <w:rPr>
          <w:rStyle w:val="FootnoteReference"/>
        </w:rPr>
        <w:footnoteRef/>
      </w:r>
      <w:r>
        <w:t xml:space="preserve"> </w:t>
      </w:r>
      <w:r w:rsidR="000E72D2" w:rsidRPr="0016024E">
        <w:rPr>
          <w:rFonts w:ascii="Tahoma" w:eastAsia="Times New Roman" w:hAnsi="Tahoma" w:cs="Al-Mujahed Free"/>
          <w:color w:val="000066"/>
          <w:sz w:val="16"/>
          <w:szCs w:val="16"/>
          <w:rtl/>
          <w:lang w:eastAsia="en-GB"/>
        </w:rPr>
        <w:t xml:space="preserve"> المادة (84) من مجلة الأحكام العدلية. درر الحُكَّام شرح مجلة الأحكام، علي حيدر، الرئيس الأول لمحكمة التمييز وأمين الفتيا ووزير العدلية في الدولة العثمانية ومدرّس مجلة الأحكام العدلية بمدرسة الحقوق بالأستانة، تعريب المحامي فهمي الحسيني، دار الجيل، بيروت، لبنان، الطبعة الأولى، 1411ه/1991م، ص 87.</w:t>
      </w:r>
    </w:p>
  </w:footnote>
  <w:footnote w:id="37">
    <w:p w:rsidR="00B93D75" w:rsidRDefault="00B93D75" w:rsidP="000E72D2">
      <w:pPr>
        <w:pStyle w:val="FootnoteText"/>
        <w:bidi/>
        <w:rPr>
          <w:rtl/>
          <w:lang w:bidi="ar-AE"/>
        </w:rPr>
      </w:pPr>
      <w:r>
        <w:rPr>
          <w:rStyle w:val="FootnoteReference"/>
        </w:rPr>
        <w:footnoteRef/>
      </w:r>
      <w:r>
        <w:t xml:space="preserve"> </w:t>
      </w:r>
      <w:r w:rsidR="000E72D2" w:rsidRPr="0016024E">
        <w:rPr>
          <w:rFonts w:ascii="Tahoma" w:eastAsia="Times New Roman" w:hAnsi="Tahoma" w:cs="Al-Mujahed Free"/>
          <w:color w:val="000066"/>
          <w:sz w:val="16"/>
          <w:szCs w:val="16"/>
          <w:rtl/>
          <w:lang w:eastAsia="en-GB"/>
        </w:rPr>
        <w:t>- يُنْظَر: الفقه الإسلامي وأدلته، أ.د.وهبة الزحيلي، 4/91.</w:t>
      </w:r>
      <w:r w:rsidR="000E72D2" w:rsidRPr="00530BF2">
        <w:rPr>
          <w:rFonts w:ascii="Tahoma" w:eastAsia="Times New Roman" w:hAnsi="Tahoma" w:cs="Al-Mujahed Free"/>
          <w:color w:val="000066"/>
          <w:sz w:val="16"/>
          <w:szCs w:val="16"/>
          <w:rtl/>
          <w:lang w:eastAsia="en-GB"/>
        </w:rPr>
        <w:br/>
      </w:r>
    </w:p>
  </w:footnote>
  <w:footnote w:id="38">
    <w:p w:rsidR="00B93D75" w:rsidRDefault="00B93D75" w:rsidP="000E72D2">
      <w:pPr>
        <w:pStyle w:val="FootnoteText"/>
        <w:bidi/>
        <w:rPr>
          <w:rtl/>
        </w:rPr>
      </w:pPr>
      <w:r>
        <w:rPr>
          <w:rStyle w:val="FootnoteReference"/>
        </w:rPr>
        <w:footnoteRef/>
      </w:r>
      <w:r>
        <w:t xml:space="preserve"> </w:t>
      </w:r>
      <w:r w:rsidR="000E72D2" w:rsidRPr="0016024E">
        <w:rPr>
          <w:rFonts w:ascii="Tahoma" w:eastAsia="Times New Roman" w:hAnsi="Tahoma" w:cs="Al-Mujahed Free"/>
          <w:color w:val="000066"/>
          <w:sz w:val="16"/>
          <w:szCs w:val="16"/>
          <w:rtl/>
          <w:lang w:eastAsia="en-GB"/>
        </w:rPr>
        <w:t xml:space="preserve"> يُنْظَر: - المدخل الفقهي العام، مصطفى أحمد الزرقا، 1/1292، الفقرة رقم (133).</w:t>
      </w:r>
    </w:p>
  </w:footnote>
  <w:footnote w:id="39">
    <w:p w:rsidR="00B93D75" w:rsidRDefault="00B93D75" w:rsidP="000E72D2">
      <w:pPr>
        <w:pStyle w:val="FootnoteText"/>
        <w:bidi/>
        <w:rPr>
          <w:rtl/>
        </w:rPr>
      </w:pPr>
      <w:r>
        <w:rPr>
          <w:rStyle w:val="FootnoteReference"/>
        </w:rPr>
        <w:footnoteRef/>
      </w:r>
      <w:r>
        <w:t xml:space="preserve"> </w:t>
      </w:r>
      <w:r w:rsidR="000E72D2" w:rsidRPr="0016024E">
        <w:rPr>
          <w:rFonts w:ascii="Tahoma" w:eastAsia="Times New Roman" w:hAnsi="Tahoma" w:cs="Al-Mujahed Free"/>
          <w:color w:val="000066"/>
          <w:sz w:val="16"/>
          <w:szCs w:val="16"/>
          <w:rtl/>
          <w:lang w:eastAsia="en-GB"/>
        </w:rPr>
        <w:t>يُنْظَر: - المدخل في التعريف بالفقه الإسلامي وقواعد الملكية والعقود فيه، محمد مصطفى شلبي، رئيس قسم الشريعة الإسلامية بجامعتي الإسكندرية وبيروت العربية، دار النهضة العربية، 1401ه/1081م، ص440.</w:t>
      </w:r>
    </w:p>
  </w:footnote>
  <w:footnote w:id="40">
    <w:p w:rsidR="00B93D75" w:rsidRPr="00897D9F" w:rsidRDefault="00B93D75" w:rsidP="000E72D2">
      <w:pPr>
        <w:pStyle w:val="FootnoteText"/>
        <w:bidi/>
        <w:rPr>
          <w:color w:val="00B050"/>
          <w:rtl/>
          <w:lang w:bidi="ar-AE"/>
        </w:rPr>
      </w:pPr>
      <w:r w:rsidRPr="00897D9F">
        <w:rPr>
          <w:rStyle w:val="FootnoteReference"/>
          <w:color w:val="00B050"/>
        </w:rPr>
        <w:footnoteRef/>
      </w:r>
      <w:r w:rsidR="000E72D2" w:rsidRPr="00897D9F">
        <w:rPr>
          <w:rFonts w:ascii="Tahoma" w:eastAsia="Times New Roman" w:hAnsi="Tahoma" w:cs="Al-Mujahed Free"/>
          <w:color w:val="00B050"/>
          <w:sz w:val="16"/>
          <w:szCs w:val="16"/>
          <w:rtl/>
          <w:lang w:eastAsia="en-GB"/>
        </w:rPr>
        <w:t>درر الحُكَّام شرح مجلة الأحكام، علي حيدر، 1/141 وما بعدها.</w:t>
      </w:r>
    </w:p>
  </w:footnote>
  <w:footnote w:id="41">
    <w:p w:rsidR="00B93D75" w:rsidRPr="00897D9F" w:rsidRDefault="00B93D75" w:rsidP="00897D9F">
      <w:pPr>
        <w:pStyle w:val="FootnoteText"/>
        <w:bidi/>
        <w:rPr>
          <w:color w:val="00B050"/>
          <w:rtl/>
          <w:lang w:bidi="ar-AE"/>
        </w:rPr>
      </w:pPr>
      <w:r w:rsidRPr="00897D9F">
        <w:rPr>
          <w:rStyle w:val="FootnoteReference"/>
          <w:color w:val="00B050"/>
        </w:rPr>
        <w:footnoteRef/>
      </w:r>
      <w:r w:rsidRPr="00897D9F">
        <w:rPr>
          <w:color w:val="00B050"/>
        </w:rPr>
        <w:t xml:space="preserve"> </w:t>
      </w:r>
      <w:r w:rsidR="000E72D2" w:rsidRPr="00897D9F">
        <w:rPr>
          <w:rFonts w:ascii="Tahoma" w:eastAsia="Times New Roman" w:hAnsi="Tahoma" w:cs="Al-Mujahed Free"/>
          <w:color w:val="00B050"/>
          <w:sz w:val="16"/>
          <w:szCs w:val="16"/>
          <w:rtl/>
          <w:lang w:eastAsia="en-GB"/>
        </w:rPr>
        <w:t xml:space="preserve">يُنْظَر: الفقه الإسلامي وأدلته، أ.د. وهبة الزحيلي، 4/95. </w:t>
      </w:r>
    </w:p>
  </w:footnote>
  <w:footnote w:id="42">
    <w:p w:rsidR="00B93D75" w:rsidRPr="00897D9F" w:rsidRDefault="00B93D75" w:rsidP="00803E04">
      <w:pPr>
        <w:pStyle w:val="FootnoteText"/>
        <w:bidi/>
        <w:rPr>
          <w:color w:val="00B050"/>
          <w:rtl/>
          <w:lang w:bidi="ar-AE"/>
        </w:rPr>
      </w:pPr>
      <w:r w:rsidRPr="00897D9F">
        <w:rPr>
          <w:rStyle w:val="FootnoteReference"/>
          <w:color w:val="00B050"/>
        </w:rPr>
        <w:footnoteRef/>
      </w:r>
      <w:r w:rsidRPr="00897D9F">
        <w:rPr>
          <w:color w:val="00B050"/>
        </w:rPr>
        <w:t xml:space="preserve"> </w:t>
      </w:r>
      <w:r w:rsidR="00803E04" w:rsidRPr="00897D9F">
        <w:rPr>
          <w:rFonts w:ascii="Tahoma" w:eastAsia="Times New Roman" w:hAnsi="Tahoma" w:cs="Al-Mujahed Free"/>
          <w:color w:val="00B050"/>
          <w:sz w:val="16"/>
          <w:szCs w:val="16"/>
          <w:rtl/>
          <w:lang w:eastAsia="en-GB"/>
        </w:rPr>
        <w:t xml:space="preserve"> نصت المادة (175) من مجلة الأحكام العدلية على ما يأتي: (حيث إن المقصد الأصلي من الإيجاب والقبول هو تراضي الطرفين، فينعقد البيع بالمبادلة الفعلية الدالة على التراضي، ويسمى هذا بيع التعاطي). درر الحُكَّام شرح مجلة الأحكام، علي حيدر، 1/143.</w:t>
      </w:r>
    </w:p>
  </w:footnote>
  <w:footnote w:id="43">
    <w:p w:rsidR="00B93D75" w:rsidRPr="00897D9F" w:rsidRDefault="00B93D75" w:rsidP="00803E04">
      <w:pPr>
        <w:pStyle w:val="FootnoteText"/>
        <w:bidi/>
        <w:rPr>
          <w:color w:val="00B050"/>
          <w:rtl/>
        </w:rPr>
      </w:pPr>
      <w:r w:rsidRPr="00897D9F">
        <w:rPr>
          <w:rStyle w:val="FootnoteReference"/>
          <w:color w:val="00B050"/>
        </w:rPr>
        <w:footnoteRef/>
      </w:r>
      <w:r w:rsidRPr="00897D9F">
        <w:rPr>
          <w:color w:val="00B050"/>
        </w:rPr>
        <w:t xml:space="preserve"> </w:t>
      </w:r>
      <w:r w:rsidR="00803E04" w:rsidRPr="00897D9F">
        <w:rPr>
          <w:rFonts w:ascii="Tahoma" w:eastAsia="Times New Roman" w:hAnsi="Tahoma" w:cs="Al-Mujahed Free"/>
          <w:color w:val="00B050"/>
          <w:sz w:val="16"/>
          <w:szCs w:val="16"/>
          <w:rtl/>
          <w:lang w:eastAsia="en-GB"/>
        </w:rPr>
        <w:t>يُنْظَر: - - بدائع الصنائع في ترتيب الشرائع، علاء الدين أبو بكر بن مسعود الكاساني، دار الكتاب العربي، بيروت، لبنان، الطبعة الثانية، 1402ه/1982م، 5/134.</w:t>
      </w:r>
    </w:p>
  </w:footnote>
  <w:footnote w:id="44">
    <w:p w:rsidR="00B93D75" w:rsidRPr="00897D9F" w:rsidRDefault="00B93D75" w:rsidP="00803E04">
      <w:pPr>
        <w:pStyle w:val="FootnoteText"/>
        <w:bidi/>
        <w:rPr>
          <w:color w:val="00B050"/>
          <w:rtl/>
          <w:lang w:bidi="ar-AE"/>
        </w:rPr>
      </w:pPr>
      <w:r w:rsidRPr="00897D9F">
        <w:rPr>
          <w:rStyle w:val="FootnoteReference"/>
          <w:color w:val="00B050"/>
        </w:rPr>
        <w:footnoteRef/>
      </w:r>
      <w:r w:rsidRPr="00897D9F">
        <w:rPr>
          <w:color w:val="00B050"/>
        </w:rPr>
        <w:t xml:space="preserve"> </w:t>
      </w:r>
      <w:r w:rsidR="00803E04" w:rsidRPr="00897D9F">
        <w:rPr>
          <w:rFonts w:ascii="Tahoma" w:eastAsia="Times New Roman" w:hAnsi="Tahoma" w:cs="Al-Mujahed Free"/>
          <w:color w:val="00B050"/>
          <w:sz w:val="16"/>
          <w:szCs w:val="16"/>
          <w:rtl/>
          <w:lang w:eastAsia="en-GB"/>
        </w:rPr>
        <w:t>هذا في الأصل، واختار النووي وجماعة من الشافعية (منهم المتولي و البغوي الانعقاد بالمعاطاة في كل ما يُعِدُّه الناس بيعاً، لأنه لم يثبت اشتراط لفظ، فيرجع للعرف كسائر الألفاظ المطلقة، وبعضهم كابن سريج والروياني خصص جواز بيع المعاطاة بالمحقرات). مغني المحتاج إلى معرفة معاني ألفاظ المنهاج، محمد الخطيب الشربيني، دار الفكر، د.ت، 2/3.</w:t>
      </w:r>
    </w:p>
  </w:footnote>
  <w:footnote w:id="45">
    <w:p w:rsidR="00B93D75" w:rsidRPr="00897D9F" w:rsidRDefault="00B93D75" w:rsidP="00803E04">
      <w:pPr>
        <w:pStyle w:val="FootnoteText"/>
        <w:bidi/>
        <w:rPr>
          <w:color w:val="00B050"/>
          <w:rtl/>
          <w:lang w:bidi="ar-AE"/>
        </w:rPr>
      </w:pPr>
      <w:r w:rsidRPr="00897D9F">
        <w:rPr>
          <w:rStyle w:val="FootnoteReference"/>
          <w:color w:val="00B050"/>
        </w:rPr>
        <w:footnoteRef/>
      </w:r>
      <w:r w:rsidRPr="00897D9F">
        <w:rPr>
          <w:color w:val="00B050"/>
        </w:rPr>
        <w:t xml:space="preserve"> </w:t>
      </w:r>
      <w:r w:rsidR="00803E04" w:rsidRPr="00897D9F">
        <w:rPr>
          <w:rFonts w:ascii="Tahoma" w:eastAsia="Times New Roman" w:hAnsi="Tahoma" w:cs="Al-Mujahed Free"/>
          <w:color w:val="00B050"/>
          <w:sz w:val="16"/>
          <w:szCs w:val="16"/>
          <w:rtl/>
          <w:lang w:eastAsia="en-GB"/>
        </w:rPr>
        <w:t>القانون المدني، إعداد ممدوح عطري، ص22</w:t>
      </w:r>
      <w:r w:rsidR="00803E04" w:rsidRPr="00897D9F">
        <w:rPr>
          <w:rFonts w:ascii="Tahoma" w:eastAsia="Times New Roman" w:hAnsi="Tahoma" w:cs="Al-Mujahed Free" w:hint="cs"/>
          <w:color w:val="00B050"/>
          <w:sz w:val="16"/>
          <w:szCs w:val="16"/>
          <w:rtl/>
          <w:lang w:eastAsia="en-GB"/>
        </w:rPr>
        <w:t>.</w:t>
      </w:r>
    </w:p>
  </w:footnote>
  <w:footnote w:id="46">
    <w:p w:rsidR="00B93D75" w:rsidRPr="00897D9F" w:rsidRDefault="00803E04" w:rsidP="00803E04">
      <w:pPr>
        <w:pStyle w:val="FootnoteText"/>
        <w:jc w:val="right"/>
        <w:rPr>
          <w:color w:val="00B050"/>
          <w:rtl/>
          <w:lang w:bidi="ar-AE"/>
        </w:rPr>
      </w:pPr>
      <w:r w:rsidRPr="00897D9F">
        <w:rPr>
          <w:rFonts w:ascii="Tahoma" w:eastAsia="Times New Roman" w:hAnsi="Tahoma" w:cs="Al-Mujahed Free"/>
          <w:color w:val="00B050"/>
          <w:sz w:val="16"/>
          <w:szCs w:val="16"/>
          <w:rtl/>
          <w:lang w:eastAsia="en-GB"/>
        </w:rPr>
        <w:br/>
        <w:t>يُنْظَر: - موسوعة الفقه الإسلامي، المجلس الأعلى للشؤون الإسلامية، مصر، الجزء العاشر، 1393ه، مادة: إشارة، بحث: إشارة في البيع 48 – 53.</w:t>
      </w:r>
      <w:r w:rsidR="00B93D75" w:rsidRPr="00897D9F">
        <w:rPr>
          <w:rStyle w:val="FootnoteReference"/>
          <w:color w:val="00B050"/>
        </w:rPr>
        <w:footnoteRef/>
      </w:r>
    </w:p>
  </w:footnote>
  <w:footnote w:id="47">
    <w:p w:rsidR="00B93D75" w:rsidRPr="00897D9F" w:rsidRDefault="00B93D75" w:rsidP="00803E04">
      <w:pPr>
        <w:pStyle w:val="FootnoteText"/>
        <w:bidi/>
        <w:jc w:val="both"/>
        <w:rPr>
          <w:color w:val="00B050"/>
          <w:rtl/>
          <w:lang w:bidi="ar-AE"/>
        </w:rPr>
      </w:pPr>
      <w:r w:rsidRPr="00897D9F">
        <w:rPr>
          <w:rStyle w:val="FootnoteReference"/>
          <w:color w:val="00B050"/>
        </w:rPr>
        <w:footnoteRef/>
      </w:r>
      <w:r w:rsidRPr="00897D9F">
        <w:rPr>
          <w:color w:val="00B050"/>
        </w:rPr>
        <w:t xml:space="preserve"> </w:t>
      </w:r>
      <w:r w:rsidR="00803E04" w:rsidRPr="00897D9F">
        <w:rPr>
          <w:rFonts w:ascii="Tahoma" w:eastAsia="Times New Roman" w:hAnsi="Tahoma" w:cs="Al-Mujahed Free"/>
          <w:color w:val="00B050"/>
          <w:sz w:val="16"/>
          <w:szCs w:val="16"/>
          <w:rtl/>
          <w:lang w:eastAsia="en-GB"/>
        </w:rPr>
        <w:t>يُنْظَر: حاشية الدسوقي على الشرح الكبير، 3/3.</w:t>
      </w:r>
    </w:p>
  </w:footnote>
  <w:footnote w:id="48">
    <w:p w:rsidR="00B93D75" w:rsidRPr="00897D9F" w:rsidRDefault="00B93D75" w:rsidP="00803E04">
      <w:pPr>
        <w:pStyle w:val="FootnoteText"/>
        <w:bidi/>
        <w:jc w:val="both"/>
        <w:rPr>
          <w:color w:val="00B050"/>
          <w:rtl/>
          <w:lang w:bidi="ar-AE"/>
        </w:rPr>
      </w:pPr>
      <w:r w:rsidRPr="00897D9F">
        <w:rPr>
          <w:rStyle w:val="FootnoteReference"/>
          <w:color w:val="00B050"/>
        </w:rPr>
        <w:footnoteRef/>
      </w:r>
      <w:r w:rsidRPr="00897D9F">
        <w:rPr>
          <w:color w:val="00B050"/>
        </w:rPr>
        <w:t xml:space="preserve"> </w:t>
      </w:r>
      <w:r w:rsidR="00803E04" w:rsidRPr="00897D9F">
        <w:rPr>
          <w:rFonts w:ascii="Tahoma" w:eastAsia="Times New Roman" w:hAnsi="Tahoma" w:cs="Al-Mujahed Free"/>
          <w:color w:val="00B050"/>
          <w:sz w:val="16"/>
          <w:szCs w:val="16"/>
          <w:rtl/>
          <w:lang w:eastAsia="en-GB"/>
        </w:rPr>
        <w:t>يُنْظَر: المغني، ابن قدامة 3/561 – 162.</w:t>
      </w:r>
    </w:p>
  </w:footnote>
  <w:footnote w:id="49">
    <w:p w:rsidR="00B93D75" w:rsidRDefault="00B93D75" w:rsidP="00803E04">
      <w:pPr>
        <w:pStyle w:val="FootnoteText"/>
        <w:bidi/>
        <w:rPr>
          <w:rtl/>
          <w:lang w:bidi="ar-AE"/>
        </w:rPr>
      </w:pPr>
      <w:r w:rsidRPr="00897D9F">
        <w:rPr>
          <w:rStyle w:val="FootnoteReference"/>
          <w:color w:val="00B050"/>
        </w:rPr>
        <w:footnoteRef/>
      </w:r>
      <w:r w:rsidR="00803E04" w:rsidRPr="00897D9F">
        <w:rPr>
          <w:rFonts w:ascii="Tahoma" w:eastAsia="Times New Roman" w:hAnsi="Tahoma" w:cs="Al-Mujahed Free"/>
          <w:color w:val="00B050"/>
          <w:sz w:val="16"/>
          <w:szCs w:val="16"/>
          <w:rtl/>
          <w:lang w:eastAsia="en-GB"/>
        </w:rPr>
        <w:t>درر الحُكَّام شرح مجلة الأحكام، علي حيدر، المادة رقم (70)، 1/70.</w:t>
      </w:r>
      <w:r w:rsidR="00803E04" w:rsidRPr="00897D9F">
        <w:rPr>
          <w:rFonts w:ascii="Tahoma" w:eastAsia="Times New Roman" w:hAnsi="Tahoma" w:cs="Al-Mujahed Free"/>
          <w:color w:val="00B050"/>
          <w:sz w:val="16"/>
          <w:szCs w:val="16"/>
          <w:rtl/>
          <w:lang w:eastAsia="en-GB"/>
        </w:rPr>
        <w:br/>
      </w:r>
      <w:r w:rsidR="00803E04" w:rsidRPr="00530BF2">
        <w:rPr>
          <w:rFonts w:ascii="Tahoma" w:eastAsia="Times New Roman" w:hAnsi="Tahoma" w:cs="Al-Mujahed Free"/>
          <w:color w:val="000066"/>
          <w:sz w:val="16"/>
          <w:szCs w:val="16"/>
          <w:rtl/>
          <w:lang w:eastAsia="en-GB"/>
        </w:rPr>
        <w:br/>
      </w:r>
      <w:r w:rsidR="00803E04" w:rsidRPr="00530BF2">
        <w:rPr>
          <w:rFonts w:ascii="Tahoma" w:eastAsia="Times New Roman" w:hAnsi="Tahoma" w:cs="Al-Mujahed Free"/>
          <w:color w:val="000066"/>
          <w:sz w:val="16"/>
          <w:szCs w:val="16"/>
          <w:rtl/>
          <w:lang w:eastAsia="en-GB"/>
        </w:rPr>
        <w:br/>
      </w:r>
      <w:r w:rsidR="00803E04" w:rsidRPr="00530BF2">
        <w:rPr>
          <w:rFonts w:ascii="Tahoma" w:eastAsia="Times New Roman" w:hAnsi="Tahoma" w:cs="Al-Mujahed Free"/>
          <w:color w:val="000066"/>
          <w:sz w:val="16"/>
          <w:szCs w:val="16"/>
          <w:rtl/>
          <w:lang w:eastAsia="en-GB"/>
        </w:rPr>
        <w:br/>
      </w:r>
    </w:p>
  </w:footnote>
  <w:footnote w:id="50">
    <w:p w:rsidR="00B93D75" w:rsidRPr="00897D9F" w:rsidRDefault="00B93D75" w:rsidP="00803E04">
      <w:pPr>
        <w:pStyle w:val="FootnoteText"/>
        <w:bidi/>
        <w:rPr>
          <w:color w:val="00B050"/>
          <w:rtl/>
          <w:lang w:bidi="ar-AE"/>
        </w:rPr>
      </w:pPr>
      <w:r w:rsidRPr="00897D9F">
        <w:rPr>
          <w:rStyle w:val="FootnoteReference"/>
          <w:color w:val="00B050"/>
        </w:rPr>
        <w:footnoteRef/>
      </w:r>
      <w:r w:rsidR="00803E04" w:rsidRPr="00897D9F">
        <w:rPr>
          <w:rFonts w:ascii="Tahoma" w:eastAsia="Times New Roman" w:hAnsi="Tahoma" w:cs="Al-Mujahed Free"/>
          <w:color w:val="00B050"/>
          <w:sz w:val="16"/>
          <w:szCs w:val="16"/>
          <w:rtl/>
          <w:lang w:eastAsia="en-GB"/>
        </w:rPr>
        <w:t>درر الحُكَّام شرح مجلة الأحكام، علي حيدر، المادة رقم (69)، 1/69.</w:t>
      </w:r>
    </w:p>
  </w:footnote>
  <w:footnote w:id="51">
    <w:p w:rsidR="00B93D75" w:rsidRPr="00897D9F" w:rsidRDefault="00B93D75" w:rsidP="00803E04">
      <w:pPr>
        <w:pStyle w:val="FootnoteText"/>
        <w:bidi/>
        <w:jc w:val="both"/>
        <w:rPr>
          <w:color w:val="00B050"/>
          <w:rtl/>
          <w:lang w:bidi="ar-AE"/>
        </w:rPr>
      </w:pPr>
      <w:r w:rsidRPr="00897D9F">
        <w:rPr>
          <w:rStyle w:val="FootnoteReference"/>
          <w:color w:val="00B050"/>
        </w:rPr>
        <w:footnoteRef/>
      </w:r>
      <w:r w:rsidRPr="00897D9F">
        <w:rPr>
          <w:color w:val="00B050"/>
        </w:rPr>
        <w:t xml:space="preserve"> </w:t>
      </w:r>
      <w:r w:rsidR="00803E04" w:rsidRPr="00897D9F">
        <w:rPr>
          <w:rFonts w:ascii="Tahoma" w:eastAsia="Times New Roman" w:hAnsi="Tahoma" w:cs="Al-Mujahed Free"/>
          <w:color w:val="00B050"/>
          <w:sz w:val="16"/>
          <w:szCs w:val="16"/>
          <w:rtl/>
          <w:lang w:eastAsia="en-GB"/>
        </w:rPr>
        <w:t>يُنْظَر: - بدائع الصنائع، الكاساني، 5/137.</w:t>
      </w:r>
    </w:p>
  </w:footnote>
  <w:footnote w:id="52">
    <w:p w:rsidR="00B93D75" w:rsidRPr="00897D9F" w:rsidRDefault="00B93D75" w:rsidP="00200E15">
      <w:pPr>
        <w:pStyle w:val="FootnoteText"/>
        <w:bidi/>
        <w:rPr>
          <w:color w:val="00B050"/>
          <w:rtl/>
          <w:lang w:bidi="ar-AE"/>
        </w:rPr>
      </w:pPr>
      <w:r w:rsidRPr="00897D9F">
        <w:rPr>
          <w:rStyle w:val="FootnoteReference"/>
          <w:color w:val="00B050"/>
        </w:rPr>
        <w:footnoteRef/>
      </w:r>
      <w:r w:rsidRPr="00897D9F">
        <w:rPr>
          <w:color w:val="00B050"/>
        </w:rPr>
        <w:t xml:space="preserve"> </w:t>
      </w:r>
      <w:r w:rsidR="00200E15" w:rsidRPr="00897D9F">
        <w:rPr>
          <w:rFonts w:ascii="Tahoma" w:eastAsia="Times New Roman" w:hAnsi="Tahoma" w:cs="Al-Mujahed Free"/>
          <w:color w:val="00B050"/>
          <w:sz w:val="16"/>
          <w:szCs w:val="16"/>
          <w:rtl/>
          <w:lang w:eastAsia="en-GB"/>
        </w:rPr>
        <w:t xml:space="preserve">- حاشية الدسوقي على الشرح الكبير، 3/3. </w:t>
      </w:r>
    </w:p>
  </w:footnote>
  <w:footnote w:id="53">
    <w:p w:rsidR="00B93D75" w:rsidRPr="00897D9F" w:rsidRDefault="00B93D75" w:rsidP="00803E04">
      <w:pPr>
        <w:pStyle w:val="FootnoteText"/>
        <w:bidi/>
        <w:rPr>
          <w:color w:val="00B050"/>
          <w:rtl/>
          <w:lang w:bidi="ar-AE"/>
        </w:rPr>
      </w:pPr>
      <w:r w:rsidRPr="00897D9F">
        <w:rPr>
          <w:rStyle w:val="FootnoteReference"/>
          <w:color w:val="00B050"/>
        </w:rPr>
        <w:footnoteRef/>
      </w:r>
      <w:r w:rsidRPr="00897D9F">
        <w:rPr>
          <w:color w:val="00B050"/>
        </w:rPr>
        <w:t xml:space="preserve"> </w:t>
      </w:r>
      <w:r w:rsidR="00200E15" w:rsidRPr="00897D9F">
        <w:rPr>
          <w:rFonts w:ascii="Tahoma" w:eastAsia="Times New Roman" w:hAnsi="Tahoma" w:cs="Al-Mujahed Free"/>
          <w:color w:val="00B050"/>
          <w:sz w:val="16"/>
          <w:szCs w:val="16"/>
          <w:rtl/>
          <w:lang w:eastAsia="en-GB"/>
        </w:rPr>
        <w:t>يُنْظَر: - المهذب، الشيرازي، 1/257.</w:t>
      </w:r>
    </w:p>
  </w:footnote>
  <w:footnote w:id="54">
    <w:p w:rsidR="00B93D75" w:rsidRPr="00897D9F" w:rsidRDefault="00B93D75" w:rsidP="00803E04">
      <w:pPr>
        <w:pStyle w:val="FootnoteText"/>
        <w:bidi/>
        <w:rPr>
          <w:color w:val="00B050"/>
          <w:rtl/>
          <w:lang w:bidi="ar-AE"/>
        </w:rPr>
      </w:pPr>
      <w:r w:rsidRPr="00897D9F">
        <w:rPr>
          <w:rStyle w:val="FootnoteReference"/>
          <w:color w:val="00B050"/>
        </w:rPr>
        <w:footnoteRef/>
      </w:r>
      <w:r w:rsidRPr="00897D9F">
        <w:rPr>
          <w:color w:val="00B050"/>
        </w:rPr>
        <w:t xml:space="preserve"> </w:t>
      </w:r>
      <w:r w:rsidR="00200E15" w:rsidRPr="00897D9F">
        <w:rPr>
          <w:rFonts w:ascii="Tahoma" w:eastAsia="Times New Roman" w:hAnsi="Tahoma" w:cs="Al-Mujahed Free"/>
          <w:color w:val="00B050"/>
          <w:sz w:val="16"/>
          <w:szCs w:val="16"/>
          <w:rtl/>
          <w:lang w:eastAsia="en-GB"/>
        </w:rPr>
        <w:t xml:space="preserve"> يُنْظَر: - كشاف القناع عن متن الإقناع، منصور بن يونس البهوتي، فرغ من تأليفه سنة 1046ه، راجعه وعلَّق عليه هلال مصيلحي مصطفى هلال، أستاذ الفقه والتوحيد بالأزهر الشريف، دار الفكر، لبنان، 1402ه/1982م، 3/148.</w:t>
      </w:r>
    </w:p>
  </w:footnote>
  <w:footnote w:id="55">
    <w:p w:rsidR="00B93D75" w:rsidRDefault="00B93D75" w:rsidP="00200E15">
      <w:pPr>
        <w:pStyle w:val="FootnoteText"/>
        <w:bidi/>
        <w:rPr>
          <w:rtl/>
          <w:lang w:bidi="ar-AE"/>
        </w:rPr>
      </w:pPr>
      <w:r w:rsidRPr="00897D9F">
        <w:rPr>
          <w:rStyle w:val="FootnoteReference"/>
          <w:color w:val="00B050"/>
        </w:rPr>
        <w:footnoteRef/>
      </w:r>
      <w:r w:rsidRPr="00897D9F">
        <w:rPr>
          <w:color w:val="00B050"/>
        </w:rPr>
        <w:t xml:space="preserve"> </w:t>
      </w:r>
      <w:r w:rsidR="00200E15" w:rsidRPr="00897D9F">
        <w:rPr>
          <w:rFonts w:ascii="Tahoma" w:eastAsia="Times New Roman" w:hAnsi="Tahoma" w:cs="Al-Mujahed Free"/>
          <w:color w:val="00B050"/>
          <w:sz w:val="16"/>
          <w:szCs w:val="16"/>
          <w:rtl/>
          <w:lang w:eastAsia="en-GB"/>
        </w:rPr>
        <w:t>(يُنْظَر: - المستدرك على الفقه الإسلامي وأدلته،، أ. د. وهبة الزحيلي، دار الفكر، دمشق، سورية، الطبعة الأولى 1417ه/1996م،9/244 وما بعدها.</w:t>
      </w:r>
    </w:p>
  </w:footnote>
  <w:footnote w:id="56">
    <w:p w:rsidR="00397049" w:rsidRDefault="00397049" w:rsidP="00200E15">
      <w:pPr>
        <w:pStyle w:val="FootnoteText"/>
        <w:bidi/>
        <w:rPr>
          <w:rtl/>
          <w:lang w:bidi="ar-AE"/>
        </w:rPr>
      </w:pPr>
      <w:r>
        <w:rPr>
          <w:rStyle w:val="FootnoteReference"/>
        </w:rPr>
        <w:footnoteRef/>
      </w:r>
      <w:r>
        <w:t xml:space="preserve"> </w:t>
      </w:r>
      <w:r w:rsidR="00200E15" w:rsidRPr="00897D9F">
        <w:rPr>
          <w:rFonts w:ascii="Tahoma" w:eastAsia="Times New Roman" w:hAnsi="Tahoma" w:cs="Al-Mujahed Free"/>
          <w:color w:val="00B050"/>
          <w:sz w:val="16"/>
          <w:szCs w:val="16"/>
          <w:rtl/>
          <w:lang w:eastAsia="en-GB"/>
        </w:rPr>
        <w:t>يُنْظَر: - - بدائع الصنائع، الكاساني، 5/138-152.</w:t>
      </w:r>
    </w:p>
  </w:footnote>
  <w:footnote w:id="57">
    <w:p w:rsidR="00397049" w:rsidRDefault="00397049" w:rsidP="00200E15">
      <w:pPr>
        <w:pStyle w:val="FootnoteText"/>
        <w:bidi/>
        <w:rPr>
          <w:rtl/>
          <w:lang w:bidi="ar-AE"/>
        </w:rPr>
      </w:pPr>
    </w:p>
  </w:footnote>
  <w:footnote w:id="58">
    <w:p w:rsidR="00634C12" w:rsidRPr="00897D9F" w:rsidRDefault="000C6151" w:rsidP="000C6151">
      <w:pPr>
        <w:pStyle w:val="FootnoteText"/>
        <w:jc w:val="right"/>
        <w:rPr>
          <w:color w:val="00B050"/>
          <w:rtl/>
          <w:lang w:bidi="ar-AE"/>
        </w:rPr>
      </w:pPr>
      <w:r w:rsidRPr="00897D9F">
        <w:rPr>
          <w:rFonts w:ascii="Tahoma" w:eastAsia="Times New Roman" w:hAnsi="Tahoma" w:cs="Al-Mujahed Free"/>
          <w:color w:val="00B050"/>
          <w:sz w:val="16"/>
          <w:szCs w:val="16"/>
          <w:rtl/>
          <w:lang w:eastAsia="en-GB"/>
        </w:rPr>
        <w:t>يُنْظَر: نظرية العقد، د. عبد الرزاق السنهوري، الفقرة 130، ص 125.</w:t>
      </w:r>
      <w:r w:rsidR="00634C12" w:rsidRPr="00897D9F">
        <w:rPr>
          <w:rStyle w:val="FootnoteReference"/>
          <w:color w:val="00B050"/>
        </w:rPr>
        <w:footnoteRef/>
      </w:r>
      <w:r w:rsidR="00634C12" w:rsidRPr="00897D9F">
        <w:rPr>
          <w:color w:val="00B050"/>
        </w:rPr>
        <w:t xml:space="preserve"> </w:t>
      </w:r>
    </w:p>
  </w:footnote>
  <w:footnote w:id="59">
    <w:p w:rsidR="00634C12" w:rsidRDefault="000C6151" w:rsidP="000C6151">
      <w:pPr>
        <w:pStyle w:val="FootnoteText"/>
        <w:jc w:val="right"/>
        <w:rPr>
          <w:rtl/>
          <w:lang w:bidi="ar-AE"/>
        </w:rPr>
      </w:pPr>
      <w:r w:rsidRPr="00897D9F">
        <w:rPr>
          <w:rFonts w:ascii="Tahoma" w:eastAsia="Times New Roman" w:hAnsi="Tahoma" w:cs="Al-Mujahed Free"/>
          <w:color w:val="00B050"/>
          <w:sz w:val="16"/>
          <w:szCs w:val="16"/>
          <w:rtl/>
          <w:lang w:eastAsia="en-GB"/>
        </w:rPr>
        <w:t>يُنْظَر: العقود المسماة، أ.د. محمد الزحيلي، ص36.</w:t>
      </w:r>
      <w:r w:rsidR="00634C12" w:rsidRPr="00897D9F">
        <w:rPr>
          <w:rStyle w:val="FootnoteReference"/>
          <w:color w:val="00B050"/>
        </w:rPr>
        <w:footnoteRef/>
      </w:r>
      <w:r w:rsidR="00634C12" w:rsidRPr="00897D9F">
        <w:rPr>
          <w:color w:val="00B050"/>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13A85"/>
    <w:multiLevelType w:val="hybridMultilevel"/>
    <w:tmpl w:val="A1269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2E662E3"/>
    <w:multiLevelType w:val="hybridMultilevel"/>
    <w:tmpl w:val="ED9E7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5E27EAF"/>
    <w:multiLevelType w:val="hybridMultilevel"/>
    <w:tmpl w:val="AC388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3E20F55"/>
    <w:multiLevelType w:val="multilevel"/>
    <w:tmpl w:val="A37AF8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5"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hdrShapeDefaults>
    <o:shapedefaults v:ext="edit" spidmax="10242"/>
    <o:shapelayout v:ext="edit">
      <o:idmap v:ext="edit" data="5"/>
      <o:rules v:ext="edit">
        <o:r id="V:Rule2" type="connector" idref="#_x0000_s5121"/>
      </o:rules>
    </o:shapelayout>
  </w:hdrShapeDefaults>
  <w:footnotePr>
    <w:footnote w:id="-1"/>
    <w:footnote w:id="0"/>
  </w:footnotePr>
  <w:endnotePr>
    <w:endnote w:id="-1"/>
    <w:endnote w:id="0"/>
  </w:endnotePr>
  <w:compat/>
  <w:rsids>
    <w:rsidRoot w:val="00AC5A82"/>
    <w:rsid w:val="00001F87"/>
    <w:rsid w:val="00035D6F"/>
    <w:rsid w:val="00083148"/>
    <w:rsid w:val="000C6151"/>
    <w:rsid w:val="000E2F6A"/>
    <w:rsid w:val="000E72D2"/>
    <w:rsid w:val="001010C4"/>
    <w:rsid w:val="0016024E"/>
    <w:rsid w:val="00172F60"/>
    <w:rsid w:val="00200E15"/>
    <w:rsid w:val="002447CF"/>
    <w:rsid w:val="002B2692"/>
    <w:rsid w:val="002C787A"/>
    <w:rsid w:val="00397049"/>
    <w:rsid w:val="003C45B2"/>
    <w:rsid w:val="00410F15"/>
    <w:rsid w:val="004552B1"/>
    <w:rsid w:val="004E08E7"/>
    <w:rsid w:val="00505D8F"/>
    <w:rsid w:val="00511943"/>
    <w:rsid w:val="00530BF2"/>
    <w:rsid w:val="00604260"/>
    <w:rsid w:val="00625CC5"/>
    <w:rsid w:val="00634C12"/>
    <w:rsid w:val="006E4F26"/>
    <w:rsid w:val="00703171"/>
    <w:rsid w:val="007E7E0D"/>
    <w:rsid w:val="00803E04"/>
    <w:rsid w:val="00897D9F"/>
    <w:rsid w:val="008E59C8"/>
    <w:rsid w:val="00A42A5A"/>
    <w:rsid w:val="00A941C2"/>
    <w:rsid w:val="00AC5A82"/>
    <w:rsid w:val="00AC67BF"/>
    <w:rsid w:val="00AD1197"/>
    <w:rsid w:val="00AE0031"/>
    <w:rsid w:val="00AF61F2"/>
    <w:rsid w:val="00B8638B"/>
    <w:rsid w:val="00B91DD2"/>
    <w:rsid w:val="00B93D75"/>
    <w:rsid w:val="00C00F0C"/>
    <w:rsid w:val="00CD7DE6"/>
    <w:rsid w:val="00CF2FC6"/>
    <w:rsid w:val="00D73CF7"/>
    <w:rsid w:val="00DB6B93"/>
    <w:rsid w:val="00E14D22"/>
    <w:rsid w:val="00E176ED"/>
    <w:rsid w:val="00E55910"/>
    <w:rsid w:val="00E67B71"/>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6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6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38B"/>
    <w:rPr>
      <w:rFonts w:ascii="Tahoma" w:hAnsi="Tahoma" w:cs="Tahoma"/>
      <w:sz w:val="16"/>
      <w:szCs w:val="16"/>
    </w:rPr>
  </w:style>
  <w:style w:type="character" w:styleId="Strong">
    <w:name w:val="Strong"/>
    <w:basedOn w:val="DefaultParagraphFont"/>
    <w:uiPriority w:val="22"/>
    <w:qFormat/>
    <w:rsid w:val="00530BF2"/>
    <w:rPr>
      <w:b/>
      <w:bCs/>
    </w:rPr>
  </w:style>
  <w:style w:type="paragraph" w:styleId="FootnoteText">
    <w:name w:val="footnote text"/>
    <w:basedOn w:val="Normal"/>
    <w:link w:val="FootnoteTextChar"/>
    <w:uiPriority w:val="99"/>
    <w:semiHidden/>
    <w:unhideWhenUsed/>
    <w:rsid w:val="00A42A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2A5A"/>
    <w:rPr>
      <w:sz w:val="20"/>
      <w:szCs w:val="20"/>
    </w:rPr>
  </w:style>
  <w:style w:type="character" w:styleId="FootnoteReference">
    <w:name w:val="footnote reference"/>
    <w:basedOn w:val="DefaultParagraphFont"/>
    <w:uiPriority w:val="99"/>
    <w:semiHidden/>
    <w:unhideWhenUsed/>
    <w:rsid w:val="00A42A5A"/>
    <w:rPr>
      <w:vertAlign w:val="superscript"/>
    </w:rPr>
  </w:style>
  <w:style w:type="character" w:styleId="Hyperlink">
    <w:name w:val="Hyperlink"/>
    <w:basedOn w:val="DefaultParagraphFont"/>
    <w:uiPriority w:val="99"/>
    <w:unhideWhenUsed/>
    <w:rsid w:val="008E59C8"/>
    <w:rPr>
      <w:color w:val="0000FF" w:themeColor="hyperlink"/>
      <w:u w:val="single"/>
    </w:rPr>
  </w:style>
  <w:style w:type="paragraph" w:styleId="Header">
    <w:name w:val="header"/>
    <w:basedOn w:val="Normal"/>
    <w:link w:val="HeaderChar"/>
    <w:uiPriority w:val="99"/>
    <w:semiHidden/>
    <w:unhideWhenUsed/>
    <w:rsid w:val="00505D8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05D8F"/>
  </w:style>
  <w:style w:type="paragraph" w:styleId="Footer">
    <w:name w:val="footer"/>
    <w:basedOn w:val="Normal"/>
    <w:link w:val="FooterChar"/>
    <w:uiPriority w:val="99"/>
    <w:semiHidden/>
    <w:unhideWhenUsed/>
    <w:rsid w:val="00505D8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05D8F"/>
  </w:style>
  <w:style w:type="paragraph" w:styleId="NormalWeb">
    <w:name w:val="Normal (Web)"/>
    <w:basedOn w:val="Normal"/>
    <w:uiPriority w:val="99"/>
    <w:unhideWhenUsed/>
    <w:rsid w:val="00172F60"/>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character" w:styleId="FollowedHyperlink">
    <w:name w:val="FollowedHyperlink"/>
    <w:basedOn w:val="DefaultParagraphFont"/>
    <w:uiPriority w:val="99"/>
    <w:semiHidden/>
    <w:unhideWhenUsed/>
    <w:rsid w:val="00172F60"/>
    <w:rPr>
      <w:color w:val="800080" w:themeColor="followedHyperlink"/>
      <w:u w:val="single"/>
    </w:rPr>
  </w:style>
  <w:style w:type="paragraph" w:styleId="ListParagraph">
    <w:name w:val="List Paragraph"/>
    <w:basedOn w:val="Normal"/>
    <w:uiPriority w:val="34"/>
    <w:qFormat/>
    <w:rsid w:val="00B91DD2"/>
    <w:pPr>
      <w:ind w:left="720"/>
      <w:contextualSpacing/>
    </w:pPr>
  </w:style>
  <w:style w:type="table" w:styleId="TableGrid">
    <w:name w:val="Table Grid"/>
    <w:basedOn w:val="TableNormal"/>
    <w:uiPriority w:val="59"/>
    <w:rsid w:val="00E55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897D9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315455189">
      <w:bodyDiv w:val="1"/>
      <w:marLeft w:val="0"/>
      <w:marRight w:val="0"/>
      <w:marTop w:val="0"/>
      <w:marBottom w:val="0"/>
      <w:divBdr>
        <w:top w:val="none" w:sz="0" w:space="0" w:color="auto"/>
        <w:left w:val="none" w:sz="0" w:space="0" w:color="auto"/>
        <w:bottom w:val="none" w:sz="0" w:space="0" w:color="auto"/>
        <w:right w:val="none" w:sz="0" w:space="0" w:color="auto"/>
      </w:divBdr>
      <w:divsChild>
        <w:div w:id="68238908">
          <w:marLeft w:val="0"/>
          <w:marRight w:val="0"/>
          <w:marTop w:val="0"/>
          <w:marBottom w:val="0"/>
          <w:divBdr>
            <w:top w:val="none" w:sz="0" w:space="0" w:color="auto"/>
            <w:left w:val="none" w:sz="0" w:space="0" w:color="auto"/>
            <w:bottom w:val="none" w:sz="0" w:space="0" w:color="auto"/>
            <w:right w:val="none" w:sz="0" w:space="0" w:color="auto"/>
          </w:divBdr>
          <w:divsChild>
            <w:div w:id="367681626">
              <w:marLeft w:val="0"/>
              <w:marRight w:val="0"/>
              <w:marTop w:val="0"/>
              <w:marBottom w:val="0"/>
              <w:divBdr>
                <w:top w:val="none" w:sz="0" w:space="0" w:color="auto"/>
                <w:left w:val="none" w:sz="0" w:space="0" w:color="auto"/>
                <w:bottom w:val="none" w:sz="0" w:space="0" w:color="auto"/>
                <w:right w:val="none" w:sz="0" w:space="0" w:color="auto"/>
              </w:divBdr>
              <w:divsChild>
                <w:div w:id="38758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987821">
      <w:bodyDiv w:val="1"/>
      <w:marLeft w:val="0"/>
      <w:marRight w:val="0"/>
      <w:marTop w:val="0"/>
      <w:marBottom w:val="0"/>
      <w:divBdr>
        <w:top w:val="none" w:sz="0" w:space="0" w:color="auto"/>
        <w:left w:val="none" w:sz="0" w:space="0" w:color="auto"/>
        <w:bottom w:val="none" w:sz="0" w:space="0" w:color="auto"/>
        <w:right w:val="none" w:sz="0" w:space="0" w:color="auto"/>
      </w:divBdr>
      <w:divsChild>
        <w:div w:id="1173567583">
          <w:marLeft w:val="0"/>
          <w:marRight w:val="0"/>
          <w:marTop w:val="0"/>
          <w:marBottom w:val="0"/>
          <w:divBdr>
            <w:top w:val="none" w:sz="0" w:space="0" w:color="auto"/>
            <w:left w:val="none" w:sz="0" w:space="0" w:color="auto"/>
            <w:bottom w:val="none" w:sz="0" w:space="0" w:color="auto"/>
            <w:right w:val="none" w:sz="0" w:space="0" w:color="auto"/>
          </w:divBdr>
          <w:divsChild>
            <w:div w:id="1572883113">
              <w:marLeft w:val="0"/>
              <w:marRight w:val="0"/>
              <w:marTop w:val="0"/>
              <w:marBottom w:val="0"/>
              <w:divBdr>
                <w:top w:val="none" w:sz="0" w:space="0" w:color="auto"/>
                <w:left w:val="none" w:sz="0" w:space="0" w:color="auto"/>
                <w:bottom w:val="none" w:sz="0" w:space="0" w:color="auto"/>
                <w:right w:val="none" w:sz="0" w:space="0" w:color="auto"/>
              </w:divBdr>
              <w:divsChild>
                <w:div w:id="130477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967949">
      <w:bodyDiv w:val="1"/>
      <w:marLeft w:val="0"/>
      <w:marRight w:val="0"/>
      <w:marTop w:val="0"/>
      <w:marBottom w:val="0"/>
      <w:divBdr>
        <w:top w:val="none" w:sz="0" w:space="0" w:color="auto"/>
        <w:left w:val="none" w:sz="0" w:space="0" w:color="auto"/>
        <w:bottom w:val="none" w:sz="0" w:space="0" w:color="auto"/>
        <w:right w:val="none" w:sz="0" w:space="0" w:color="auto"/>
      </w:divBdr>
      <w:divsChild>
        <w:div w:id="1703167684">
          <w:marLeft w:val="0"/>
          <w:marRight w:val="0"/>
          <w:marTop w:val="89"/>
          <w:marBottom w:val="178"/>
          <w:divBdr>
            <w:top w:val="none" w:sz="0" w:space="0" w:color="auto"/>
            <w:left w:val="none" w:sz="0" w:space="0" w:color="auto"/>
            <w:bottom w:val="none" w:sz="0" w:space="0" w:color="auto"/>
            <w:right w:val="none" w:sz="0" w:space="0" w:color="auto"/>
          </w:divBdr>
          <w:divsChild>
            <w:div w:id="1650986144">
              <w:marLeft w:val="0"/>
              <w:marRight w:val="0"/>
              <w:marTop w:val="0"/>
              <w:marBottom w:val="0"/>
              <w:divBdr>
                <w:top w:val="none" w:sz="0" w:space="0" w:color="auto"/>
                <w:left w:val="none" w:sz="0" w:space="0" w:color="auto"/>
                <w:bottom w:val="none" w:sz="0" w:space="0" w:color="auto"/>
                <w:right w:val="none" w:sz="0" w:space="0" w:color="auto"/>
              </w:divBdr>
              <w:divsChild>
                <w:div w:id="506600612">
                  <w:marLeft w:val="0"/>
                  <w:marRight w:val="0"/>
                  <w:marTop w:val="0"/>
                  <w:marBottom w:val="0"/>
                  <w:divBdr>
                    <w:top w:val="none" w:sz="0" w:space="0" w:color="auto"/>
                    <w:left w:val="none" w:sz="0" w:space="0" w:color="auto"/>
                    <w:bottom w:val="none" w:sz="0" w:space="0" w:color="auto"/>
                    <w:right w:val="none" w:sz="0" w:space="0" w:color="auto"/>
                  </w:divBdr>
                  <w:divsChild>
                    <w:div w:id="865558312">
                      <w:marLeft w:val="0"/>
                      <w:marRight w:val="0"/>
                      <w:marTop w:val="0"/>
                      <w:marBottom w:val="0"/>
                      <w:divBdr>
                        <w:top w:val="none" w:sz="0" w:space="0" w:color="auto"/>
                        <w:left w:val="none" w:sz="0" w:space="0" w:color="auto"/>
                        <w:bottom w:val="none" w:sz="0" w:space="0" w:color="auto"/>
                        <w:right w:val="none" w:sz="0" w:space="0" w:color="auto"/>
                      </w:divBdr>
                      <w:divsChild>
                        <w:div w:id="1883591914">
                          <w:marLeft w:val="0"/>
                          <w:marRight w:val="0"/>
                          <w:marTop w:val="0"/>
                          <w:marBottom w:val="0"/>
                          <w:divBdr>
                            <w:top w:val="none" w:sz="0" w:space="0" w:color="auto"/>
                            <w:left w:val="none" w:sz="0" w:space="0" w:color="auto"/>
                            <w:bottom w:val="none" w:sz="0" w:space="0" w:color="auto"/>
                            <w:right w:val="none" w:sz="0" w:space="0" w:color="auto"/>
                          </w:divBdr>
                          <w:divsChild>
                            <w:div w:id="1882477947">
                              <w:marLeft w:val="0"/>
                              <w:marRight w:val="0"/>
                              <w:marTop w:val="0"/>
                              <w:marBottom w:val="0"/>
                              <w:divBdr>
                                <w:top w:val="none" w:sz="0" w:space="0" w:color="auto"/>
                                <w:left w:val="none" w:sz="0" w:space="0" w:color="auto"/>
                                <w:bottom w:val="none" w:sz="0" w:space="0" w:color="auto"/>
                                <w:right w:val="none" w:sz="0" w:space="0" w:color="auto"/>
                              </w:divBdr>
                              <w:divsChild>
                                <w:div w:id="236289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lzatari.org/show_art_details.php?id=162"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hsha.com/old/viewarticle.php?id=28325" TargetMode="External"/><Relationship Id="rId17" Type="http://schemas.openxmlformats.org/officeDocument/2006/relationships/hyperlink" Target="http://www.almodarresi.com/books/681/index.htm" TargetMode="External"/><Relationship Id="rId2" Type="http://schemas.openxmlformats.org/officeDocument/2006/relationships/numbering" Target="numbering.xml"/><Relationship Id="rId16" Type="http://schemas.openxmlformats.org/officeDocument/2006/relationships/hyperlink" Target="http://www.alukah.net/Sharia/0/3673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islamweb.net/fatwa/index.php?page=showfatwa&amp;Option=FatwaId&amp;Id=168119"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ogle.ae/imgres?q=%D8%A7%D9%84%D8%B9%D9%82%D8%AF+%D9%81%D9%8A+%D8%A7%D9%84%D8%A7%D8%B3%D9%84%D8%A7%D9%85&amp;hl=ar&amp;biw=1366&amp;bih=498&amp;gbv=2&amp;tbm=isch&amp;tbnid=v-e9CO3QwDcuCM:&amp;imgrefurl=http://www.khaberni.com/more.asp?ThisID=44984&amp;docid=rUJ9cF2WcSP9hM&amp;imgurl=http://www.khaberni.com/assets/images/44984_41605.bmp&amp;w=400&amp;h=294&amp;ei=VUoiT_m-PKis0QWm1ZTOCg&amp;zoom=1&amp;iact=rc&amp;dur=546&amp;sig=115694308389104330663&amp;page=2&amp;tbnh=141&amp;tbnw=192&amp;start=13&amp;ndsp=18&amp;ved=1t:429,r:5,s:13&amp;tx=88&amp;ty=69" TargetMode="External"/><Relationship Id="rId14" Type="http://schemas.openxmlformats.org/officeDocument/2006/relationships/hyperlink" Target="http://www.uae7.com/vb/t7304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52732-71D4-402B-AED8-DD9ECF939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4701</Words>
  <Characters>26796</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2012-01-27T07:50:00Z</cp:lastPrinted>
  <dcterms:created xsi:type="dcterms:W3CDTF">2012-06-28T19:02:00Z</dcterms:created>
  <dcterms:modified xsi:type="dcterms:W3CDTF">2012-06-28T19:02:00Z</dcterms:modified>
</cp:coreProperties>
</file>