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3DC" w:rsidRPr="0049375C" w:rsidRDefault="0096337D" w:rsidP="0096337D">
      <w:pPr>
        <w:bidi/>
        <w:jc w:val="center"/>
        <w:rPr>
          <w:rFonts w:asciiTheme="minorBidi" w:hAnsiTheme="minorBidi"/>
          <w:color w:val="FF000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النقل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غير النشط</w:t>
      </w:r>
    </w:p>
    <w:p w:rsidR="0096337D" w:rsidRPr="0049375C" w:rsidRDefault="0096337D" w:rsidP="0096337D">
      <w:pPr>
        <w:bidi/>
        <w:rPr>
          <w:rFonts w:asciiTheme="minorBidi" w:hAnsiTheme="minorBidi"/>
          <w:color w:val="00206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النقل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غير النشط: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حركة انتقال مادة معينة، عبر غش</w:t>
      </w:r>
      <w:r w:rsidR="0001200D" w:rsidRPr="0049375C">
        <w:rPr>
          <w:rFonts w:asciiTheme="minorBidi" w:hAnsiTheme="minorBidi"/>
          <w:color w:val="002060"/>
          <w:sz w:val="24"/>
          <w:szCs w:val="24"/>
          <w:rtl/>
        </w:rPr>
        <w:t>اء خلوي دون استخدام طاقة الخلية</w:t>
      </w:r>
    </w:p>
    <w:p w:rsidR="0096337D" w:rsidRPr="0049375C" w:rsidRDefault="0096337D" w:rsidP="0096337D">
      <w:pPr>
        <w:bidi/>
        <w:rPr>
          <w:rFonts w:asciiTheme="minorBidi" w:hAnsiTheme="minorBidi"/>
          <w:color w:val="FF000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النقل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غير النشط:</w:t>
      </w:r>
    </w:p>
    <w:p w:rsidR="0096337D" w:rsidRPr="0049375C" w:rsidRDefault="0096337D" w:rsidP="0096337D">
      <w:pPr>
        <w:pStyle w:val="ListParagraph"/>
        <w:numPr>
          <w:ilvl w:val="0"/>
          <w:numId w:val="4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الانتشار</w:t>
      </w:r>
    </w:p>
    <w:p w:rsidR="0096337D" w:rsidRPr="0049375C" w:rsidRDefault="0096337D" w:rsidP="0096337D">
      <w:pPr>
        <w:pStyle w:val="ListParagraph"/>
        <w:numPr>
          <w:ilvl w:val="0"/>
          <w:numId w:val="4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الأسموزية</w:t>
      </w:r>
    </w:p>
    <w:p w:rsidR="0096337D" w:rsidRPr="0049375C" w:rsidRDefault="0096337D" w:rsidP="0096337D">
      <w:pPr>
        <w:pStyle w:val="ListParagraph"/>
        <w:numPr>
          <w:ilvl w:val="0"/>
          <w:numId w:val="4"/>
        </w:numPr>
        <w:bidi/>
        <w:rPr>
          <w:rFonts w:asciiTheme="minorBidi" w:hAnsiTheme="minorBidi"/>
          <w:color w:val="002060"/>
          <w:sz w:val="24"/>
          <w:szCs w:val="24"/>
        </w:rPr>
      </w:pP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الانتشار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الميسر</w:t>
      </w:r>
    </w:p>
    <w:p w:rsidR="0096337D" w:rsidRPr="0049375C" w:rsidRDefault="0096337D" w:rsidP="0096337D">
      <w:pPr>
        <w:pStyle w:val="ListParagraph"/>
        <w:numPr>
          <w:ilvl w:val="0"/>
          <w:numId w:val="4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الانتشار عبر القنوات الأيونية</w:t>
      </w:r>
    </w:p>
    <w:p w:rsidR="0096337D" w:rsidRPr="0049375C" w:rsidRDefault="0096337D" w:rsidP="0096337D">
      <w:pPr>
        <w:bidi/>
        <w:rPr>
          <w:rFonts w:asciiTheme="minorBidi" w:hAnsiTheme="minorBidi"/>
          <w:color w:val="00206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الانتشار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عملية انتقال جزيئات من منطقة ذات تركيز أعلى إلى منطقة ذات تركيز أقل</w:t>
      </w:r>
    </w:p>
    <w:p w:rsidR="0096337D" w:rsidRPr="0049375C" w:rsidRDefault="0096337D" w:rsidP="0096337D">
      <w:pPr>
        <w:bidi/>
        <w:rPr>
          <w:rFonts w:asciiTheme="minorBidi" w:hAnsiTheme="minorBidi"/>
          <w:color w:val="00206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منحدر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التركيز: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هبوط أو صعود نسبة ا</w:t>
      </w:r>
      <w:r w:rsidR="0001200D" w:rsidRPr="0049375C">
        <w:rPr>
          <w:rFonts w:asciiTheme="minorBidi" w:hAnsiTheme="minorBidi"/>
          <w:color w:val="002060"/>
          <w:sz w:val="24"/>
          <w:szCs w:val="24"/>
          <w:rtl/>
        </w:rPr>
        <w:t>لتركيز لمادة معينة ضمن حيز معين</w:t>
      </w:r>
    </w:p>
    <w:p w:rsidR="0096337D" w:rsidRPr="0049375C" w:rsidRDefault="0001200D" w:rsidP="0001200D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التوازن: </w:t>
      </w: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حالة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تتحقق عندما تكون درجة تركيز مادة معينة هي ذاتها في كامل حيز محدد</w:t>
      </w:r>
    </w:p>
    <w:p w:rsidR="0001200D" w:rsidRPr="0049375C" w:rsidRDefault="0001200D" w:rsidP="0001200D">
      <w:pPr>
        <w:bidi/>
        <w:rPr>
          <w:rFonts w:asciiTheme="minorBidi" w:hAnsiTheme="minorBidi"/>
          <w:color w:val="FF000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تعتمد قدرة جزيء على الانتشار </w:t>
      </w: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عبر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غشاء خلوي على:</w:t>
      </w:r>
    </w:p>
    <w:p w:rsidR="0001200D" w:rsidRPr="0049375C" w:rsidRDefault="0001200D" w:rsidP="0001200D">
      <w:pPr>
        <w:pStyle w:val="ListParagraph"/>
        <w:numPr>
          <w:ilvl w:val="0"/>
          <w:numId w:val="5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حجم الجزيء</w:t>
      </w:r>
    </w:p>
    <w:p w:rsidR="0001200D" w:rsidRPr="0049375C" w:rsidRDefault="0001200D" w:rsidP="0001200D">
      <w:pPr>
        <w:pStyle w:val="ListParagraph"/>
        <w:numPr>
          <w:ilvl w:val="0"/>
          <w:numId w:val="5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نوع الجزيء</w:t>
      </w:r>
    </w:p>
    <w:p w:rsidR="0001200D" w:rsidRPr="0049375C" w:rsidRDefault="0001200D" w:rsidP="0001200D">
      <w:pPr>
        <w:pStyle w:val="ListParagraph"/>
        <w:numPr>
          <w:ilvl w:val="0"/>
          <w:numId w:val="5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الطبيعة الكيميائية للغشاء</w:t>
      </w:r>
    </w:p>
    <w:p w:rsidR="0001200D" w:rsidRPr="0049375C" w:rsidRDefault="0001200D" w:rsidP="0001200D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المواد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اللاقطبية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التي  تذوب في الدهون تمر عبر الغشاء عن طريق الانتشار، مثال: ثاني أكسيد الكربون والأكسجين</w:t>
      </w:r>
    </w:p>
    <w:p w:rsidR="00D67604" w:rsidRPr="0049375C" w:rsidRDefault="0001200D" w:rsidP="00D67604">
      <w:pPr>
        <w:bidi/>
        <w:rPr>
          <w:rFonts w:asciiTheme="minorBidi" w:hAnsiTheme="minorBidi"/>
          <w:color w:val="00206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الجزيئات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الصغيرة جدا التي لا تذوب في الدهون </w:t>
      </w:r>
      <w:r w:rsidR="00D67604" w:rsidRPr="0049375C">
        <w:rPr>
          <w:rFonts w:asciiTheme="minorBidi" w:hAnsiTheme="minorBidi"/>
          <w:color w:val="002060"/>
          <w:sz w:val="24"/>
          <w:szCs w:val="24"/>
          <w:rtl/>
        </w:rPr>
        <w:t>تنتشر عبر العشاء الخلوي عن طريق الانتقال من خلال ثقوبه</w:t>
      </w:r>
    </w:p>
    <w:p w:rsidR="00D67604" w:rsidRPr="0049375C" w:rsidRDefault="00D67604" w:rsidP="00D67604">
      <w:pPr>
        <w:bidi/>
        <w:rPr>
          <w:rFonts w:asciiTheme="minorBidi" w:hAnsiTheme="minorBidi"/>
          <w:color w:val="002060"/>
          <w:sz w:val="24"/>
          <w:szCs w:val="24"/>
          <w:rtl/>
        </w:rPr>
      </w:pPr>
    </w:p>
    <w:p w:rsidR="00D67604" w:rsidRPr="0049375C" w:rsidRDefault="00D67604" w:rsidP="00D67604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المحلول يتكور من مادة مذابة </w:t>
      </w: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ومادة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مذبة</w:t>
      </w:r>
    </w:p>
    <w:p w:rsidR="00D67604" w:rsidRPr="0049375C" w:rsidRDefault="00D67604" w:rsidP="00D67604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جزيئات المادة المذابة تنتشر </w:t>
      </w: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عبر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المذيب، وكذلك يمكن لجزيئات المذيب أن تنتشر أيضاً بالنسبة للمواد المذابة داخل الخلايا</w:t>
      </w:r>
    </w:p>
    <w:p w:rsidR="00D67604" w:rsidRPr="0049375C" w:rsidRDefault="00D67604" w:rsidP="00D67604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الأسموزية: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انتشار الماء عبر عشاء يتصف بنفاذية انتقائية</w:t>
      </w:r>
    </w:p>
    <w:p w:rsidR="00D67604" w:rsidRPr="0049375C" w:rsidRDefault="00D67604" w:rsidP="00D67604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>تعتمد المحصلة النهائية لاتجاه الأسموزية على</w:t>
      </w:r>
      <w:r w:rsidR="00C173DE" w:rsidRPr="0049375C">
        <w:rPr>
          <w:rFonts w:asciiTheme="minorBidi" w:hAnsiTheme="minorBidi"/>
          <w:color w:val="FF0000"/>
          <w:sz w:val="24"/>
          <w:szCs w:val="24"/>
          <w:rtl/>
        </w:rPr>
        <w:t>:</w:t>
      </w: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نسبة تركيز المادة المذابة على جانبي الغشاء</w:t>
      </w:r>
    </w:p>
    <w:p w:rsidR="00C173DE" w:rsidRPr="0049375C" w:rsidRDefault="00D67604" w:rsidP="00C173DE">
      <w:pPr>
        <w:pStyle w:val="ListParagraph"/>
        <w:numPr>
          <w:ilvl w:val="0"/>
          <w:numId w:val="6"/>
        </w:num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عندنا يكون تركيز جزيئات المادة المذابة خارج الخلية أقل من التركيز في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السيتوسول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يكون المحلول في الخارج </w:t>
      </w:r>
      <w:r w:rsidRPr="0049375C">
        <w:rPr>
          <w:rFonts w:asciiTheme="minorBidi" w:hAnsiTheme="minorBidi"/>
          <w:b/>
          <w:bCs/>
          <w:color w:val="002060"/>
          <w:sz w:val="24"/>
          <w:szCs w:val="24"/>
          <w:rtl/>
        </w:rPr>
        <w:t xml:space="preserve">منخفض التركيز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بالنسبة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للسيتوسول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، فيواصل الماء انتشاره </w:t>
      </w:r>
      <w:r w:rsidR="00C173DE" w:rsidRPr="0049375C">
        <w:rPr>
          <w:rFonts w:asciiTheme="minorBidi" w:hAnsiTheme="minorBidi"/>
          <w:color w:val="002060"/>
          <w:sz w:val="24"/>
          <w:szCs w:val="24"/>
          <w:rtl/>
        </w:rPr>
        <w:t>إلى داخل الخلية حتى يحقق التوازن</w:t>
      </w:r>
    </w:p>
    <w:p w:rsidR="00D67604" w:rsidRPr="0049375C" w:rsidRDefault="00D67604" w:rsidP="00C173DE">
      <w:pPr>
        <w:pStyle w:val="ListParagraph"/>
        <w:numPr>
          <w:ilvl w:val="0"/>
          <w:numId w:val="6"/>
        </w:num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عندما يكون تركيز المادة المذابة خارج الخلية أعلى</w:t>
      </w:r>
      <w:r w:rsidR="00C173DE" w:rsidRPr="0049375C">
        <w:rPr>
          <w:rFonts w:asciiTheme="minorBidi" w:hAnsiTheme="minorBidi"/>
          <w:color w:val="002060"/>
          <w:sz w:val="24"/>
          <w:szCs w:val="24"/>
          <w:rtl/>
        </w:rPr>
        <w:t xml:space="preserve"> من التركيز في </w:t>
      </w:r>
      <w:proofErr w:type="spellStart"/>
      <w:r w:rsidR="00C173DE" w:rsidRPr="0049375C">
        <w:rPr>
          <w:rFonts w:asciiTheme="minorBidi" w:hAnsiTheme="minorBidi"/>
          <w:color w:val="002060"/>
          <w:sz w:val="24"/>
          <w:szCs w:val="24"/>
          <w:rtl/>
        </w:rPr>
        <w:t>السيتوسول</w:t>
      </w:r>
      <w:proofErr w:type="spellEnd"/>
      <w:r w:rsidR="00C173DE" w:rsidRPr="0049375C">
        <w:rPr>
          <w:rFonts w:asciiTheme="minorBidi" w:hAnsiTheme="minorBidi"/>
          <w:color w:val="002060"/>
          <w:sz w:val="24"/>
          <w:szCs w:val="24"/>
          <w:rtl/>
        </w:rPr>
        <w:t xml:space="preserve"> يكون المحلول في الخارج </w:t>
      </w:r>
      <w:r w:rsidR="00C173DE" w:rsidRPr="0049375C">
        <w:rPr>
          <w:rFonts w:asciiTheme="minorBidi" w:hAnsiTheme="minorBidi"/>
          <w:b/>
          <w:bCs/>
          <w:color w:val="002060"/>
          <w:sz w:val="24"/>
          <w:szCs w:val="24"/>
          <w:rtl/>
        </w:rPr>
        <w:t>عالي التركيز</w:t>
      </w:r>
      <w:r w:rsidR="00C173DE" w:rsidRPr="0049375C">
        <w:rPr>
          <w:rFonts w:asciiTheme="minorBidi" w:hAnsiTheme="minorBidi"/>
          <w:color w:val="002060"/>
          <w:sz w:val="24"/>
          <w:szCs w:val="24"/>
          <w:rtl/>
        </w:rPr>
        <w:t xml:space="preserve"> بالنسبة </w:t>
      </w:r>
      <w:proofErr w:type="spellStart"/>
      <w:r w:rsidR="00C173DE" w:rsidRPr="0049375C">
        <w:rPr>
          <w:rFonts w:asciiTheme="minorBidi" w:hAnsiTheme="minorBidi"/>
          <w:color w:val="002060"/>
          <w:sz w:val="24"/>
          <w:szCs w:val="24"/>
          <w:rtl/>
        </w:rPr>
        <w:t>للسيتوسول</w:t>
      </w:r>
      <w:proofErr w:type="spellEnd"/>
      <w:r w:rsidR="00C173DE" w:rsidRPr="0049375C">
        <w:rPr>
          <w:rFonts w:asciiTheme="minorBidi" w:hAnsiTheme="minorBidi"/>
          <w:color w:val="002060"/>
          <w:sz w:val="24"/>
          <w:szCs w:val="24"/>
          <w:rtl/>
        </w:rPr>
        <w:t>، فيواصل الماء انتشاره إلى خارج الخلية حتى يحقق التوازن</w:t>
      </w:r>
    </w:p>
    <w:p w:rsidR="00C173DE" w:rsidRPr="0049375C" w:rsidRDefault="00C173DE" w:rsidP="00C173DE">
      <w:pPr>
        <w:pStyle w:val="ListParagraph"/>
        <w:numPr>
          <w:ilvl w:val="0"/>
          <w:numId w:val="6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عندنا يتساوى تركيز المادة المذابة خارج الخلية وداخلها يوصف المحلول الخارجي بأنه </w:t>
      </w:r>
      <w:r w:rsidRPr="0049375C">
        <w:rPr>
          <w:rFonts w:asciiTheme="minorBidi" w:hAnsiTheme="minorBidi"/>
          <w:b/>
          <w:bCs/>
          <w:color w:val="002060"/>
          <w:sz w:val="24"/>
          <w:szCs w:val="24"/>
          <w:rtl/>
        </w:rPr>
        <w:t xml:space="preserve">متساوي التركيز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بالنسبة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للسيتوسول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>، فينتشر الماء خارج الخلية وداخلها بنسب متساوية، ولا يكون هناك أي انتشار أو تحرك واضح للماء</w:t>
      </w:r>
    </w:p>
    <w:p w:rsidR="00C173DE" w:rsidRPr="0049375C" w:rsidRDefault="00C173DE" w:rsidP="00C173DE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الفجوات المنقبضة: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عضي لدى الطلائعيات يقوم بطرد الماء خارج الخلية ( البراميسيوم ) تتطلب هذه العملية استهلاك للطاقة من قِبل الخلية</w:t>
      </w:r>
    </w:p>
    <w:p w:rsidR="000E7CC4" w:rsidRPr="0049375C" w:rsidRDefault="000E7CC4" w:rsidP="000E7CC4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الكثير من الكائنات الحية عديدة الخلايا تستجيب لمحيط بيئي منخفض التركيز عن طريق ضخ المواد الذائبة إلى خارج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السيتوسول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، وهذا يُخفض تركيز المادة المذابة في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السيتوسول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ويجعله أقرب إلى تركيزها في المحيط البيئي، وبذلك ينخفض احتمال انتشار جزيئات الماء في اتجاه داخل الخلية</w:t>
      </w:r>
    </w:p>
    <w:p w:rsidR="0049375C" w:rsidRDefault="0049375C" w:rsidP="000E7CC4">
      <w:pPr>
        <w:bidi/>
        <w:rPr>
          <w:rFonts w:asciiTheme="minorBidi" w:hAnsiTheme="minorBidi" w:hint="cs"/>
          <w:color w:val="FF0000"/>
          <w:sz w:val="24"/>
          <w:szCs w:val="24"/>
          <w:rtl/>
        </w:rPr>
      </w:pPr>
      <w:bookmarkStart w:id="0" w:name="_GoBack"/>
      <w:bookmarkEnd w:id="0"/>
    </w:p>
    <w:p w:rsidR="0049375C" w:rsidRDefault="0049375C" w:rsidP="0049375C">
      <w:pPr>
        <w:bidi/>
        <w:rPr>
          <w:rFonts w:asciiTheme="minorBidi" w:hAnsiTheme="minorBidi" w:hint="cs"/>
          <w:color w:val="FF0000"/>
          <w:sz w:val="24"/>
          <w:szCs w:val="24"/>
          <w:rtl/>
        </w:rPr>
      </w:pPr>
    </w:p>
    <w:p w:rsidR="0049375C" w:rsidRDefault="0049375C" w:rsidP="0049375C">
      <w:pPr>
        <w:bidi/>
        <w:rPr>
          <w:rFonts w:asciiTheme="minorBidi" w:hAnsiTheme="minorBidi" w:hint="cs"/>
          <w:color w:val="FF0000"/>
          <w:sz w:val="24"/>
          <w:szCs w:val="24"/>
          <w:rtl/>
        </w:rPr>
      </w:pPr>
    </w:p>
    <w:p w:rsidR="000E7CC4" w:rsidRPr="0049375C" w:rsidRDefault="000E7CC4" w:rsidP="0049375C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ضغط الامتلاء: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ضغط الماء </w:t>
      </w: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داخل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خلية نباتية</w:t>
      </w:r>
    </w:p>
    <w:p w:rsidR="000E7CC4" w:rsidRPr="0049375C" w:rsidRDefault="001C0B85" w:rsidP="000E7CC4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يمكن لخلايا الجذور أن تكون محاطة بالماء الذي ينتقل عن طريق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الاسموزية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إلى داخل النبتة، </w:t>
      </w:r>
      <w:r w:rsidRPr="0049375C">
        <w:rPr>
          <w:rFonts w:asciiTheme="minorBidi" w:hAnsiTheme="minorBidi"/>
          <w:b/>
          <w:bCs/>
          <w:color w:val="002060"/>
          <w:sz w:val="24"/>
          <w:szCs w:val="24"/>
          <w:rtl/>
        </w:rPr>
        <w:t xml:space="preserve">فتنتفخ شيئاً فشيئاً مع تعبئتها للماء،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ويتوقف الانتفاخ عندما ينضغط الغشاء الخلوي نحو الجانب الداخلي للجدار الخلوي  (محيط بيئي منخفض التركيز)</w:t>
      </w:r>
    </w:p>
    <w:p w:rsidR="001C0B85" w:rsidRPr="0049375C" w:rsidRDefault="001C0B85" w:rsidP="001C0B85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يخرج الماء من الخلايا بواسطة الأسموزية </w:t>
      </w:r>
      <w:r w:rsidRPr="0049375C">
        <w:rPr>
          <w:rFonts w:asciiTheme="minorBidi" w:hAnsiTheme="minorBidi"/>
          <w:b/>
          <w:bCs/>
          <w:color w:val="002060"/>
          <w:sz w:val="24"/>
          <w:szCs w:val="24"/>
          <w:rtl/>
        </w:rPr>
        <w:t xml:space="preserve">فتنكمش الخلايا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مبتعدة عن الجدران الخلوية، فيزول ضغط الا</w:t>
      </w:r>
      <w:r w:rsidR="00735E02" w:rsidRPr="0049375C">
        <w:rPr>
          <w:rFonts w:asciiTheme="minorBidi" w:hAnsiTheme="minorBidi"/>
          <w:color w:val="002060"/>
          <w:sz w:val="24"/>
          <w:szCs w:val="24"/>
          <w:rtl/>
        </w:rPr>
        <w:t>م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تلاء، وهذا الوضع يسمى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البلزمة</w:t>
      </w:r>
      <w:proofErr w:type="spellEnd"/>
      <w:r w:rsidR="00735E02" w:rsidRPr="0049375C">
        <w:rPr>
          <w:rFonts w:asciiTheme="minorBidi" w:hAnsiTheme="minorBidi"/>
          <w:color w:val="002060"/>
          <w:sz w:val="24"/>
          <w:szCs w:val="24"/>
          <w:rtl/>
        </w:rPr>
        <w:t xml:space="preserve"> (محيط بيئي عالي التركيز)</w:t>
      </w:r>
    </w:p>
    <w:p w:rsidR="001C0B85" w:rsidRPr="0049375C" w:rsidRDefault="001C0B85" w:rsidP="001C0B85">
      <w:pPr>
        <w:bidi/>
        <w:rPr>
          <w:rFonts w:asciiTheme="minorBidi" w:hAnsiTheme="minorBidi"/>
          <w:color w:val="002060"/>
          <w:sz w:val="24"/>
          <w:szCs w:val="24"/>
          <w:rtl/>
        </w:rPr>
      </w:pPr>
      <w:proofErr w:type="spellStart"/>
      <w:r w:rsidRPr="0049375C">
        <w:rPr>
          <w:rFonts w:asciiTheme="minorBidi" w:hAnsiTheme="minorBidi"/>
          <w:color w:val="FF0000"/>
          <w:sz w:val="24"/>
          <w:szCs w:val="24"/>
          <w:rtl/>
        </w:rPr>
        <w:t>البلزمة</w:t>
      </w:r>
      <w:proofErr w:type="spell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تقلص أو ذبول خلية ذات جدار، في محيط بيئي عالي التركيز</w:t>
      </w:r>
    </w:p>
    <w:p w:rsidR="00735E02" w:rsidRPr="0049375C" w:rsidRDefault="00735E02" w:rsidP="00735E02">
      <w:pPr>
        <w:bidi/>
        <w:rPr>
          <w:rFonts w:asciiTheme="minorBidi" w:hAnsiTheme="minorBidi"/>
          <w:color w:val="FF000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>خلايا الدم الحمراء تفتقر للفجوات المنقبضة فـ :</w:t>
      </w:r>
    </w:p>
    <w:p w:rsidR="00735E02" w:rsidRPr="0049375C" w:rsidRDefault="00735E02" w:rsidP="00735E02">
      <w:pPr>
        <w:pStyle w:val="ListParagraph"/>
        <w:numPr>
          <w:ilvl w:val="0"/>
          <w:numId w:val="7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إذا </w:t>
      </w: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وضعت  في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محيط بيئي مرتفع التركيز يخرج الماء من هذه الخلايا فتتقلص وتتجعد</w:t>
      </w:r>
    </w:p>
    <w:p w:rsidR="00735E02" w:rsidRPr="0049375C" w:rsidRDefault="00735E02" w:rsidP="00735E02">
      <w:pPr>
        <w:pStyle w:val="ListParagraph"/>
        <w:numPr>
          <w:ilvl w:val="0"/>
          <w:numId w:val="7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إذا وضعت في محيط بيئي منخفض التركيز يدخل الماء </w:t>
      </w: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داخل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هذه الخلايا فتنتفخ وفي النهاية تنفجر</w:t>
      </w:r>
    </w:p>
    <w:p w:rsidR="00735E02" w:rsidRPr="0049375C" w:rsidRDefault="00735E02" w:rsidP="00735E02">
      <w:pPr>
        <w:pStyle w:val="ListParagraph"/>
        <w:numPr>
          <w:ilvl w:val="0"/>
          <w:numId w:val="7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إذا وضعت في محيط بيئي متساوي التركيز تحافظ الخلايا </w:t>
      </w: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على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شكلها الطبيعي فتكون مستديرة ومقعرة</w:t>
      </w:r>
    </w:p>
    <w:p w:rsidR="00735E02" w:rsidRPr="0049375C" w:rsidRDefault="00735E02" w:rsidP="00735E02">
      <w:pPr>
        <w:bidi/>
        <w:rPr>
          <w:rFonts w:asciiTheme="minorBidi" w:hAnsiTheme="minorBidi"/>
          <w:color w:val="00206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تحلل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الخلية: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تفجّر الخلية</w:t>
      </w:r>
    </w:p>
    <w:p w:rsidR="00735E02" w:rsidRPr="0049375C" w:rsidRDefault="00735E02" w:rsidP="00735E02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الانتشار الميسر: </w:t>
      </w:r>
      <w:r w:rsidR="00EA5916" w:rsidRPr="0049375C">
        <w:rPr>
          <w:rFonts w:asciiTheme="minorBidi" w:hAnsiTheme="minorBidi"/>
          <w:color w:val="002060"/>
          <w:sz w:val="24"/>
          <w:szCs w:val="24"/>
          <w:rtl/>
        </w:rPr>
        <w:t>عملية انتقال مواد في اتجاه أسفل منحدر تركيزها، عبر الغشاء الخلوي، بمساعدة بروتينات ناقلة</w:t>
      </w:r>
    </w:p>
    <w:p w:rsidR="00EA5916" w:rsidRPr="0049375C" w:rsidRDefault="00EA5916" w:rsidP="00EA5916">
      <w:pPr>
        <w:bidi/>
        <w:rPr>
          <w:rFonts w:asciiTheme="minorBidi" w:hAnsiTheme="minorBidi"/>
          <w:color w:val="FF000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تستخدم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عملية الانتشار الميسر بالنسبة للجزيئات التي لا يمكنها أن تنتشر بسرعة عبر الأغشية الخلوية، هذه الجزيئات قد تكون:</w:t>
      </w:r>
    </w:p>
    <w:p w:rsidR="00EA5916" w:rsidRPr="0049375C" w:rsidRDefault="00EA5916" w:rsidP="00EA5916">
      <w:pPr>
        <w:pStyle w:val="ListParagraph"/>
        <w:numPr>
          <w:ilvl w:val="0"/>
          <w:numId w:val="8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غير قابلة للذوبان في الدهون</w:t>
      </w:r>
    </w:p>
    <w:p w:rsidR="00EA5916" w:rsidRPr="0049375C" w:rsidRDefault="00EA5916" w:rsidP="00EA5916">
      <w:pPr>
        <w:pStyle w:val="ListParagraph"/>
        <w:numPr>
          <w:ilvl w:val="0"/>
          <w:numId w:val="8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ذات حجم كبير جداً يمنعها من المرور </w:t>
      </w: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عبر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ثقوب الغشاء</w:t>
      </w:r>
    </w:p>
    <w:p w:rsidR="00EA5916" w:rsidRPr="0049375C" w:rsidRDefault="00EA5916" w:rsidP="00EA5916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البروتين الناقل: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بروتين ينقل مواد معينة عبر غشاء أحيائي، مع منحدر التركيز</w:t>
      </w:r>
    </w:p>
    <w:p w:rsidR="00EA5916" w:rsidRPr="0049375C" w:rsidRDefault="00EA5916" w:rsidP="00EA5916">
      <w:pPr>
        <w:bidi/>
        <w:rPr>
          <w:rFonts w:asciiTheme="minorBidi" w:hAnsiTheme="minorBidi"/>
          <w:color w:val="FF000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خطوات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الانتشار الميسر:</w:t>
      </w:r>
    </w:p>
    <w:p w:rsidR="00EA5916" w:rsidRPr="0049375C" w:rsidRDefault="00EA5916" w:rsidP="00CD25F1">
      <w:pPr>
        <w:pStyle w:val="ListParagraph"/>
        <w:numPr>
          <w:ilvl w:val="0"/>
          <w:numId w:val="13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يرتبط البروتين الناقل والجزيء عند جانب من الغشاء الخلوي</w:t>
      </w:r>
    </w:p>
    <w:p w:rsidR="00EA5916" w:rsidRPr="0049375C" w:rsidRDefault="00EA5916" w:rsidP="00CD25F1">
      <w:pPr>
        <w:pStyle w:val="ListParagraph"/>
        <w:numPr>
          <w:ilvl w:val="0"/>
          <w:numId w:val="13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يغير البروتين الناقل من شكله ( لكي يقي الجزيء من القسم الكاره للماء)</w:t>
      </w:r>
    </w:p>
    <w:p w:rsidR="00EA5916" w:rsidRPr="0049375C" w:rsidRDefault="00EA5916" w:rsidP="00CD25F1">
      <w:pPr>
        <w:pStyle w:val="ListParagraph"/>
        <w:numPr>
          <w:ilvl w:val="0"/>
          <w:numId w:val="13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تحرير الجزيء عند الجانب الآخر للغشاء، فيعود البروتين الناقل لشكله الأصلي</w:t>
      </w:r>
    </w:p>
    <w:p w:rsidR="00CD25F1" w:rsidRPr="0049375C" w:rsidRDefault="00EA5916" w:rsidP="00EA5916">
      <w:pPr>
        <w:bidi/>
        <w:ind w:left="360"/>
        <w:rPr>
          <w:rFonts w:asciiTheme="minorBidi" w:hAnsiTheme="minorBidi"/>
          <w:color w:val="00206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مثال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على الانتشار الميسر: عملية نقل الجلوكوز، لان جزيئات الجلوكوز كبيرة جداً مما لا يمكنها من الانتشار بسرعة عبر الأغشية الخلوية</w:t>
      </w:r>
    </w:p>
    <w:p w:rsidR="00CD25F1" w:rsidRPr="0049375C" w:rsidRDefault="00CD25F1" w:rsidP="00CD25F1">
      <w:pPr>
        <w:bidi/>
        <w:ind w:left="360"/>
        <w:rPr>
          <w:rFonts w:asciiTheme="minorBidi" w:hAnsiTheme="minorBidi"/>
          <w:color w:val="FF000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خصائص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الانتشار الميسر:</w:t>
      </w:r>
    </w:p>
    <w:p w:rsidR="00EA5916" w:rsidRPr="0049375C" w:rsidRDefault="00CD25F1" w:rsidP="00CD25F1">
      <w:pPr>
        <w:pStyle w:val="ListParagraph"/>
        <w:numPr>
          <w:ilvl w:val="0"/>
          <w:numId w:val="10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يساعد المواد على الانتقال إلى داخل الخلية أو خارجها بحسب منحدر التركيز</w:t>
      </w:r>
    </w:p>
    <w:p w:rsidR="00CD25F1" w:rsidRPr="0049375C" w:rsidRDefault="00CD25F1" w:rsidP="00CD25F1">
      <w:pPr>
        <w:pStyle w:val="ListParagraph"/>
        <w:numPr>
          <w:ilvl w:val="0"/>
          <w:numId w:val="10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البروتينات الناقلة المعنية بالانتشار الميسر مخصصة، أي لكل منها نوع معين من الجزيئات</w:t>
      </w:r>
    </w:p>
    <w:p w:rsidR="00CD25F1" w:rsidRPr="0049375C" w:rsidRDefault="00CD25F1" w:rsidP="00CD25F1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القناة الأيونية: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بروتين غشائي يشكل ممراً عبر الغشاء الخلوي، ينتشر من خلاله الأيون</w:t>
      </w:r>
    </w:p>
    <w:p w:rsidR="00CD25F1" w:rsidRPr="0049375C" w:rsidRDefault="00CD25F1" w:rsidP="00CD25F1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في العادة، يكون كل نوع من القنوات الأيونية مخصصاً لنوع واحد من الأيونات</w:t>
      </w:r>
    </w:p>
    <w:p w:rsidR="00CD25F1" w:rsidRPr="0049375C" w:rsidRDefault="00CD25F1" w:rsidP="00CD25F1">
      <w:pPr>
        <w:bidi/>
        <w:rPr>
          <w:rFonts w:asciiTheme="minorBidi" w:hAnsiTheme="minorBidi"/>
          <w:color w:val="FF000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>بوابات القنوات الأيونية تنفتح وتنغلق استجابة لـ 3 مثيرات: ( المثرات التي تضبط عبور أيونات محددة عبر الغشاء الخلوي)</w:t>
      </w:r>
    </w:p>
    <w:p w:rsidR="00CD25F1" w:rsidRPr="0049375C" w:rsidRDefault="00CD25F1" w:rsidP="00CD25F1">
      <w:pPr>
        <w:pStyle w:val="ListParagraph"/>
        <w:numPr>
          <w:ilvl w:val="0"/>
          <w:numId w:val="11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تمدد الغشاء الخلوي</w:t>
      </w:r>
    </w:p>
    <w:p w:rsidR="00CD25F1" w:rsidRPr="0049375C" w:rsidRDefault="00CD25F1" w:rsidP="00CD25F1">
      <w:pPr>
        <w:pStyle w:val="ListParagraph"/>
        <w:numPr>
          <w:ilvl w:val="0"/>
          <w:numId w:val="11"/>
        </w:numPr>
        <w:bidi/>
        <w:rPr>
          <w:rFonts w:asciiTheme="minorBidi" w:hAnsiTheme="minorBidi"/>
          <w:color w:val="002060"/>
          <w:sz w:val="24"/>
          <w:szCs w:val="24"/>
        </w:rPr>
      </w:pP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المثيرات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الكهربائية</w:t>
      </w:r>
    </w:p>
    <w:p w:rsidR="00CD25F1" w:rsidRPr="0049375C" w:rsidRDefault="00CD25F1" w:rsidP="00CD25F1">
      <w:pPr>
        <w:pStyle w:val="ListParagraph"/>
        <w:numPr>
          <w:ilvl w:val="0"/>
          <w:numId w:val="11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المواد الكيميائية المتواجدة في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السيتوسول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أو في المحيط البيئي الخارجي</w:t>
      </w:r>
    </w:p>
    <w:p w:rsidR="0049375C" w:rsidRDefault="0049375C" w:rsidP="00DC66AC">
      <w:pPr>
        <w:bidi/>
        <w:jc w:val="center"/>
        <w:rPr>
          <w:rFonts w:asciiTheme="minorBidi" w:hAnsiTheme="minorBidi" w:hint="cs"/>
          <w:color w:val="FF0000"/>
          <w:sz w:val="24"/>
          <w:szCs w:val="24"/>
          <w:rtl/>
        </w:rPr>
      </w:pPr>
    </w:p>
    <w:p w:rsidR="00DC66AC" w:rsidRPr="0049375C" w:rsidRDefault="00DC66AC" w:rsidP="0049375C">
      <w:pPr>
        <w:bidi/>
        <w:jc w:val="center"/>
        <w:rPr>
          <w:rFonts w:asciiTheme="minorBidi" w:hAnsiTheme="minorBidi"/>
          <w:color w:val="FF000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lastRenderedPageBreak/>
        <w:t>النقل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النشط</w:t>
      </w:r>
    </w:p>
    <w:p w:rsidR="00DC66AC" w:rsidRPr="0049375C" w:rsidRDefault="00DC66AC" w:rsidP="00DC66AC">
      <w:pPr>
        <w:bidi/>
        <w:rPr>
          <w:rFonts w:asciiTheme="minorBidi" w:hAnsiTheme="minorBidi"/>
          <w:color w:val="00206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النقل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النشط: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حركة انتقال مادة معينة عبر غشاء خلوي بعكس منحدر التركيز مما يتطلب قيام الخلية باستهلاك طاقة</w:t>
      </w:r>
    </w:p>
    <w:p w:rsidR="00DC66AC" w:rsidRPr="0049375C" w:rsidRDefault="00DC66AC" w:rsidP="00DC66AC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مضخات الغشاء الخلوي: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البروتينات الناقلة التي تعمل في النقل النشط، وتقوم بنقل المواد ضد منحدر تركيزها</w:t>
      </w:r>
    </w:p>
    <w:p w:rsidR="00DC66AC" w:rsidRPr="0049375C" w:rsidRDefault="00DC66AC" w:rsidP="00DC66AC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مضخة صوديوم بوتاسيوم: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بروتين حامل ينقل بنشاط أيونات البوتاسيوم وأيونات الصوديوم إلى خارج الخلايا، بعكس منحدر التركيز العائد لهما</w:t>
      </w:r>
    </w:p>
    <w:p w:rsidR="00DC66AC" w:rsidRPr="0049375C" w:rsidRDefault="00DC66AC" w:rsidP="00DC66AC">
      <w:pPr>
        <w:bidi/>
        <w:rPr>
          <w:rFonts w:asciiTheme="minorBidi" w:hAnsiTheme="minorBidi"/>
          <w:b/>
          <w:bCs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تركيز أعلى</w:t>
      </w:r>
      <w:r w:rsidRPr="0049375C">
        <w:rPr>
          <w:rFonts w:asciiTheme="minorBidi" w:hAnsiTheme="minorBidi"/>
          <w:b/>
          <w:bCs/>
          <w:color w:val="002060"/>
          <w:sz w:val="24"/>
          <w:szCs w:val="24"/>
          <w:rtl/>
        </w:rPr>
        <w:t xml:space="preserve">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لأيونات البوتاسيوم </w:t>
      </w:r>
      <w:r w:rsidRPr="0049375C">
        <w:rPr>
          <w:rFonts w:asciiTheme="minorBidi" w:hAnsiTheme="minorBidi"/>
          <w:b/>
          <w:bCs/>
          <w:color w:val="002060"/>
          <w:sz w:val="24"/>
          <w:szCs w:val="24"/>
          <w:rtl/>
        </w:rPr>
        <w:t xml:space="preserve">داخل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الخلية، وتركيز أعلى لأيونات الصوديوم </w:t>
      </w:r>
      <w:r w:rsidRPr="0049375C">
        <w:rPr>
          <w:rFonts w:asciiTheme="minorBidi" w:hAnsiTheme="minorBidi"/>
          <w:b/>
          <w:bCs/>
          <w:color w:val="002060"/>
          <w:sz w:val="24"/>
          <w:szCs w:val="24"/>
          <w:rtl/>
        </w:rPr>
        <w:t>خارجها</w:t>
      </w:r>
    </w:p>
    <w:p w:rsidR="00DC66AC" w:rsidRPr="0049375C" w:rsidRDefault="00DC66AC" w:rsidP="00DC66AC">
      <w:pPr>
        <w:bidi/>
        <w:rPr>
          <w:rFonts w:asciiTheme="minorBidi" w:hAnsiTheme="minorBidi"/>
          <w:color w:val="FF000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>خطوات عمل مضخة صوديوم-بوتاسيوم:</w:t>
      </w:r>
    </w:p>
    <w:p w:rsidR="00DC66AC" w:rsidRPr="0049375C" w:rsidRDefault="00DC66AC" w:rsidP="00DC66AC">
      <w:pPr>
        <w:pStyle w:val="ListParagraph"/>
        <w:numPr>
          <w:ilvl w:val="0"/>
          <w:numId w:val="15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ترتبط 3 أيونات صوديوم موجودة في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السيتوسول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ببروتين الناقل</w:t>
      </w:r>
    </w:p>
    <w:p w:rsidR="00DC66AC" w:rsidRPr="0049375C" w:rsidRDefault="00DC66AC" w:rsidP="00DC66AC">
      <w:pPr>
        <w:pStyle w:val="ListParagraph"/>
        <w:numPr>
          <w:ilvl w:val="0"/>
          <w:numId w:val="15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تتم إزالة مجموعة فوسفاتية من الأدينوسين ثلاثي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الفوسوفات</w:t>
      </w:r>
      <w:proofErr w:type="spellEnd"/>
      <w:r w:rsidR="003C28FB" w:rsidRPr="0049375C">
        <w:rPr>
          <w:rFonts w:asciiTheme="minorBidi" w:hAnsiTheme="minorBidi"/>
          <w:color w:val="002060"/>
          <w:sz w:val="24"/>
          <w:szCs w:val="24"/>
          <w:rtl/>
        </w:rPr>
        <w:t xml:space="preserve"> ويتم ربطها بالبروتين الناقل</w:t>
      </w:r>
    </w:p>
    <w:p w:rsidR="003C28FB" w:rsidRPr="0049375C" w:rsidRDefault="003C28FB" w:rsidP="003C28FB">
      <w:pPr>
        <w:pStyle w:val="ListParagraph"/>
        <w:numPr>
          <w:ilvl w:val="0"/>
          <w:numId w:val="15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يؤدي ربط المجموعة الفوسفاتية بالبروتين الناقل إلى تغيير شكله، مما يسمح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لايونات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الصوديون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بأن تنطلق في المحيط البيئي للخلية</w:t>
      </w:r>
    </w:p>
    <w:p w:rsidR="003C28FB" w:rsidRPr="0049375C" w:rsidRDefault="003C28FB" w:rsidP="003C28FB">
      <w:pPr>
        <w:pStyle w:val="ListParagraph"/>
        <w:numPr>
          <w:ilvl w:val="0"/>
          <w:numId w:val="15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يرتبط أيونا بوتاسيوم متواجدان خارج الخلية بالبروتين الناقل</w:t>
      </w:r>
    </w:p>
    <w:p w:rsidR="003C28FB" w:rsidRPr="0049375C" w:rsidRDefault="003C28FB" w:rsidP="003C28FB">
      <w:pPr>
        <w:pStyle w:val="ListParagraph"/>
        <w:numPr>
          <w:ilvl w:val="0"/>
          <w:numId w:val="15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يتم تحرير المجموعة الفوسفاتية فيتغير شكل البروتين الناقل من جديد</w:t>
      </w:r>
    </w:p>
    <w:p w:rsidR="003C28FB" w:rsidRPr="0049375C" w:rsidRDefault="003C28FB" w:rsidP="003C28FB">
      <w:pPr>
        <w:pStyle w:val="ListParagraph"/>
        <w:numPr>
          <w:ilvl w:val="0"/>
          <w:numId w:val="15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يتم تحرير أيوني البوتاسيوم داخل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السيتوسول</w:t>
      </w:r>
      <w:proofErr w:type="spellEnd"/>
    </w:p>
    <w:p w:rsidR="003C28FB" w:rsidRPr="0049375C" w:rsidRDefault="003C28FB" w:rsidP="003C28FB">
      <w:pPr>
        <w:bidi/>
        <w:rPr>
          <w:rFonts w:asciiTheme="minorBidi" w:hAnsiTheme="minorBidi"/>
          <w:color w:val="FF000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الجزيئات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العملاقة وجزيئات المواد الغذائية الكبيرة جداً التي لا تستطيع المرور عبر الغشاء الخلوي يتم نقلها باستخدام آليتي </w:t>
      </w:r>
      <w:r w:rsidRPr="0049375C">
        <w:rPr>
          <w:rFonts w:asciiTheme="minorBidi" w:hAnsiTheme="minorBidi"/>
          <w:color w:val="FF0000"/>
          <w:sz w:val="24"/>
          <w:szCs w:val="24"/>
          <w:rtl/>
        </w:rPr>
        <w:t>الإدخال الخلوي والإخراج الخلوي</w:t>
      </w:r>
    </w:p>
    <w:p w:rsidR="003C28FB" w:rsidRPr="0049375C" w:rsidRDefault="003C28FB" w:rsidP="003C28FB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الادخال الخلوي: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طريقة تقوم بها الخلية للإحاطة بمواد معينة وابتلاعها</w:t>
      </w:r>
    </w:p>
    <w:p w:rsidR="003C28FB" w:rsidRPr="0049375C" w:rsidRDefault="003C28FB" w:rsidP="003C28FB">
      <w:pPr>
        <w:bidi/>
        <w:rPr>
          <w:rFonts w:asciiTheme="minorBidi" w:hAnsiTheme="minorBidi"/>
          <w:color w:val="002060"/>
          <w:sz w:val="24"/>
          <w:szCs w:val="24"/>
          <w:rtl/>
        </w:rPr>
      </w:pPr>
      <w:proofErr w:type="spellStart"/>
      <w:r w:rsidRPr="0049375C">
        <w:rPr>
          <w:rFonts w:asciiTheme="minorBidi" w:hAnsiTheme="minorBidi"/>
          <w:color w:val="FF0000"/>
          <w:sz w:val="24"/>
          <w:szCs w:val="24"/>
          <w:rtl/>
        </w:rPr>
        <w:t>الحويصلة</w:t>
      </w:r>
      <w:proofErr w:type="spell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جزء من الخلية ينثني على ذاته مكوناً من حولها غمداً، بعد ذلك يتخصر فينفصل عن الغشاء الخلوي، ويصبح عضي محاط بغشاء خلوي</w:t>
      </w:r>
    </w:p>
    <w:p w:rsidR="003C28FB" w:rsidRPr="0049375C" w:rsidRDefault="003C28FB" w:rsidP="007973F0">
      <w:pPr>
        <w:bidi/>
        <w:rPr>
          <w:rFonts w:asciiTheme="minorBidi" w:hAnsiTheme="minorBidi"/>
          <w:color w:val="002060"/>
          <w:sz w:val="24"/>
          <w:szCs w:val="24"/>
          <w:rtl/>
        </w:rPr>
      </w:pPr>
      <w:proofErr w:type="spellStart"/>
      <w:r w:rsidRPr="0049375C">
        <w:rPr>
          <w:rFonts w:asciiTheme="minorBidi" w:hAnsiTheme="minorBidi"/>
          <w:color w:val="FF0000"/>
          <w:sz w:val="24"/>
          <w:szCs w:val="24"/>
          <w:rtl/>
        </w:rPr>
        <w:t>الارتشاف</w:t>
      </w:r>
      <w:proofErr w:type="spell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: </w:t>
      </w:r>
      <w:r w:rsidR="007973F0" w:rsidRPr="0049375C">
        <w:rPr>
          <w:rFonts w:asciiTheme="minorBidi" w:hAnsiTheme="minorBidi"/>
          <w:color w:val="002060"/>
          <w:sz w:val="24"/>
          <w:szCs w:val="24"/>
          <w:rtl/>
        </w:rPr>
        <w:t xml:space="preserve">نوع من الإدخال الخلوي </w:t>
      </w:r>
      <w:proofErr w:type="gramStart"/>
      <w:r w:rsidR="007973F0" w:rsidRPr="0049375C">
        <w:rPr>
          <w:rFonts w:asciiTheme="minorBidi" w:hAnsiTheme="minorBidi"/>
          <w:color w:val="002060"/>
          <w:sz w:val="24"/>
          <w:szCs w:val="24"/>
          <w:rtl/>
        </w:rPr>
        <w:t>يتم</w:t>
      </w:r>
      <w:proofErr w:type="gramEnd"/>
      <w:r w:rsidR="007973F0" w:rsidRPr="0049375C">
        <w:rPr>
          <w:rFonts w:asciiTheme="minorBidi" w:hAnsiTheme="minorBidi"/>
          <w:color w:val="002060"/>
          <w:sz w:val="24"/>
          <w:szCs w:val="24"/>
          <w:rtl/>
        </w:rPr>
        <w:t xml:space="preserve"> عن طريقه ابتلاع محاليل أو سوائل</w:t>
      </w:r>
    </w:p>
    <w:p w:rsidR="007973F0" w:rsidRPr="0049375C" w:rsidRDefault="007973F0" w:rsidP="007973F0">
      <w:pPr>
        <w:bidi/>
        <w:rPr>
          <w:rFonts w:asciiTheme="minorBidi" w:hAnsiTheme="minorBidi"/>
          <w:color w:val="FF000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البلعمة: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نوع من الإدخال الخلوي تقول فيه الخلية بابتلاع جزيئات كبيرة الحجم أو خلايا بكاملها</w:t>
      </w:r>
    </w:p>
    <w:p w:rsidR="007973F0" w:rsidRPr="0049375C" w:rsidRDefault="007973F0" w:rsidP="007973F0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الخلايا </w:t>
      </w:r>
      <w:proofErr w:type="spellStart"/>
      <w:r w:rsidRPr="0049375C">
        <w:rPr>
          <w:rFonts w:asciiTheme="minorBidi" w:hAnsiTheme="minorBidi"/>
          <w:color w:val="FF0000"/>
          <w:sz w:val="24"/>
          <w:szCs w:val="24"/>
          <w:rtl/>
        </w:rPr>
        <w:t>البلعمية</w:t>
      </w:r>
      <w:proofErr w:type="spell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>آلية لابتلاع البكتيريا والفيروسات التي تهاجم الجسم</w:t>
      </w:r>
    </w:p>
    <w:p w:rsidR="007973F0" w:rsidRPr="0049375C" w:rsidRDefault="007973F0" w:rsidP="007973F0">
      <w:pPr>
        <w:bidi/>
        <w:rPr>
          <w:rFonts w:asciiTheme="minorBidi" w:hAnsiTheme="minorBidi"/>
          <w:color w:val="FF000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خطوات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الإدخال الخلوي:</w:t>
      </w:r>
    </w:p>
    <w:p w:rsidR="007973F0" w:rsidRPr="0049375C" w:rsidRDefault="007973F0" w:rsidP="007973F0">
      <w:pPr>
        <w:pStyle w:val="ListParagraph"/>
        <w:numPr>
          <w:ilvl w:val="0"/>
          <w:numId w:val="17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ينثني الغشاء الخلوي، فيشكل </w:t>
      </w: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غمدا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صغيراً</w:t>
      </w:r>
    </w:p>
    <w:p w:rsidR="007973F0" w:rsidRPr="0049375C" w:rsidRDefault="007973F0" w:rsidP="007973F0">
      <w:pPr>
        <w:pStyle w:val="ListParagraph"/>
        <w:numPr>
          <w:ilvl w:val="0"/>
          <w:numId w:val="17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يتخصر الغمد</w:t>
      </w:r>
    </w:p>
    <w:p w:rsidR="007973F0" w:rsidRPr="0049375C" w:rsidRDefault="007973F0" w:rsidP="007973F0">
      <w:pPr>
        <w:pStyle w:val="ListParagraph"/>
        <w:numPr>
          <w:ilvl w:val="0"/>
          <w:numId w:val="17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ينفصل عن الغشاء ويصبح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حويصلة</w:t>
      </w:r>
      <w:proofErr w:type="spellEnd"/>
    </w:p>
    <w:p w:rsidR="007973F0" w:rsidRPr="0049375C" w:rsidRDefault="007973F0" w:rsidP="007973F0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الإخراج الخلوي: </w:t>
      </w: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عملية تتحد فيها الحويصلات </w:t>
      </w:r>
      <w:proofErr w:type="gramStart"/>
      <w:r w:rsidRPr="0049375C">
        <w:rPr>
          <w:rFonts w:asciiTheme="minorBidi" w:hAnsiTheme="minorBidi"/>
          <w:color w:val="002060"/>
          <w:sz w:val="24"/>
          <w:szCs w:val="24"/>
          <w:rtl/>
        </w:rPr>
        <w:t>داخل</w:t>
      </w:r>
      <w:proofErr w:type="gramEnd"/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 الخلية بالغشاء الخلوي وتطلع محتوياتها في المحيط البيئي الخارجي</w:t>
      </w:r>
    </w:p>
    <w:p w:rsidR="007973F0" w:rsidRPr="0049375C" w:rsidRDefault="007973F0" w:rsidP="007973F0">
      <w:pPr>
        <w:bidi/>
        <w:rPr>
          <w:rFonts w:asciiTheme="minorBidi" w:hAnsiTheme="minorBidi"/>
          <w:color w:val="FF0000"/>
          <w:sz w:val="24"/>
          <w:szCs w:val="24"/>
          <w:rtl/>
        </w:rPr>
      </w:pPr>
      <w:proofErr w:type="gramStart"/>
      <w:r w:rsidRPr="0049375C">
        <w:rPr>
          <w:rFonts w:asciiTheme="minorBidi" w:hAnsiTheme="minorBidi"/>
          <w:color w:val="FF0000"/>
          <w:sz w:val="24"/>
          <w:szCs w:val="24"/>
          <w:rtl/>
        </w:rPr>
        <w:t>خطوات</w:t>
      </w:r>
      <w:proofErr w:type="gramEnd"/>
      <w:r w:rsidRPr="0049375C">
        <w:rPr>
          <w:rFonts w:asciiTheme="minorBidi" w:hAnsiTheme="minorBidi"/>
          <w:color w:val="FF0000"/>
          <w:sz w:val="24"/>
          <w:szCs w:val="24"/>
          <w:rtl/>
        </w:rPr>
        <w:t xml:space="preserve"> الإخراج الخلوي:</w:t>
      </w:r>
    </w:p>
    <w:p w:rsidR="007973F0" w:rsidRPr="0049375C" w:rsidRDefault="007973F0" w:rsidP="007973F0">
      <w:pPr>
        <w:pStyle w:val="ListParagraph"/>
        <w:numPr>
          <w:ilvl w:val="0"/>
          <w:numId w:val="18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تلتصق الحويصلات الموجودة في السيتوبلازم بالغشاء الخلوي</w:t>
      </w:r>
    </w:p>
    <w:p w:rsidR="007973F0" w:rsidRPr="0049375C" w:rsidRDefault="007973F0" w:rsidP="007973F0">
      <w:pPr>
        <w:pStyle w:val="ListParagraph"/>
        <w:numPr>
          <w:ilvl w:val="0"/>
          <w:numId w:val="18"/>
        </w:numPr>
        <w:bidi/>
        <w:rPr>
          <w:rFonts w:asciiTheme="minorBidi" w:hAnsiTheme="minorBidi"/>
          <w:color w:val="002060"/>
          <w:sz w:val="24"/>
          <w:szCs w:val="24"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>تطلق محتوياتها في المحيط البيئي الخارجي للخلية</w:t>
      </w:r>
    </w:p>
    <w:p w:rsidR="007973F0" w:rsidRPr="0049375C" w:rsidRDefault="007973F0" w:rsidP="00331F0C">
      <w:pPr>
        <w:bidi/>
        <w:rPr>
          <w:rFonts w:asciiTheme="minorBidi" w:hAnsiTheme="minorBidi"/>
          <w:color w:val="002060"/>
          <w:sz w:val="24"/>
          <w:szCs w:val="24"/>
          <w:rtl/>
        </w:rPr>
      </w:pPr>
      <w:r w:rsidRPr="0049375C">
        <w:rPr>
          <w:rFonts w:asciiTheme="minorBidi" w:hAnsiTheme="minorBidi"/>
          <w:color w:val="002060"/>
          <w:sz w:val="24"/>
          <w:szCs w:val="24"/>
          <w:rtl/>
        </w:rPr>
        <w:t xml:space="preserve">تعتمد الخلايا الإخراج الخلوي لإطلاق جزيئات كبيرة كجزيئات البروتينات، البروتينات تُصنع عند </w:t>
      </w:r>
      <w:proofErr w:type="spellStart"/>
      <w:r w:rsidRPr="0049375C">
        <w:rPr>
          <w:rFonts w:asciiTheme="minorBidi" w:hAnsiTheme="minorBidi"/>
          <w:color w:val="002060"/>
          <w:sz w:val="24"/>
          <w:szCs w:val="24"/>
          <w:rtl/>
        </w:rPr>
        <w:t>الرايبوسومات</w:t>
      </w:r>
      <w:proofErr w:type="spellEnd"/>
      <w:r w:rsidRPr="0049375C">
        <w:rPr>
          <w:rFonts w:asciiTheme="minorBidi" w:hAnsiTheme="minorBidi"/>
          <w:color w:val="002060"/>
          <w:sz w:val="24"/>
          <w:szCs w:val="24"/>
          <w:rtl/>
        </w:rPr>
        <w:t>، وبتم تعديلها</w:t>
      </w:r>
      <w:r w:rsidR="00331F0C" w:rsidRPr="0049375C">
        <w:rPr>
          <w:rFonts w:asciiTheme="minorBidi" w:hAnsiTheme="minorBidi"/>
          <w:color w:val="002060"/>
          <w:sz w:val="24"/>
          <w:szCs w:val="24"/>
          <w:rtl/>
        </w:rPr>
        <w:t xml:space="preserve"> في حويصلات عن طريق جهاز </w:t>
      </w:r>
      <w:proofErr w:type="spellStart"/>
      <w:r w:rsidR="00331F0C" w:rsidRPr="0049375C">
        <w:rPr>
          <w:rFonts w:asciiTheme="minorBidi" w:hAnsiTheme="minorBidi"/>
          <w:color w:val="002060"/>
          <w:sz w:val="24"/>
          <w:szCs w:val="24"/>
          <w:rtl/>
        </w:rPr>
        <w:t>جولجي</w:t>
      </w:r>
      <w:proofErr w:type="spellEnd"/>
      <w:r w:rsidR="00331F0C" w:rsidRPr="0049375C">
        <w:rPr>
          <w:rFonts w:asciiTheme="minorBidi" w:hAnsiTheme="minorBidi"/>
          <w:rtl/>
        </w:rPr>
        <w:tab/>
      </w:r>
    </w:p>
    <w:sectPr w:rsidR="007973F0" w:rsidRPr="0049375C" w:rsidSect="00331F0C">
      <w:footerReference w:type="default" r:id="rId8"/>
      <w:pgSz w:w="11907" w:h="16839" w:code="9"/>
      <w:pgMar w:top="720" w:right="720" w:bottom="720" w:left="720" w:header="709" w:footer="709" w:gutter="0"/>
      <w:pgBorders w:offsetFrom="page">
        <w:top w:val="double" w:sz="12" w:space="24" w:color="FF0000"/>
        <w:left w:val="double" w:sz="12" w:space="24" w:color="FF0000"/>
        <w:bottom w:val="double" w:sz="12" w:space="24" w:color="FF0000"/>
        <w:right w:val="double" w:sz="12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CB2" w:rsidRDefault="000B4CB2" w:rsidP="0049375C">
      <w:pPr>
        <w:spacing w:after="0" w:line="240" w:lineRule="auto"/>
      </w:pPr>
      <w:r>
        <w:separator/>
      </w:r>
    </w:p>
  </w:endnote>
  <w:endnote w:type="continuationSeparator" w:id="0">
    <w:p w:rsidR="000B4CB2" w:rsidRDefault="000B4CB2" w:rsidP="00493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75C" w:rsidRDefault="0049375C" w:rsidP="0049375C">
    <w:pPr>
      <w:pStyle w:val="Footer"/>
    </w:pPr>
    <w:r>
      <w:t>@Mango</w:t>
    </w:r>
  </w:p>
  <w:p w:rsidR="0049375C" w:rsidRDefault="004937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CB2" w:rsidRDefault="000B4CB2" w:rsidP="0049375C">
      <w:pPr>
        <w:spacing w:after="0" w:line="240" w:lineRule="auto"/>
      </w:pPr>
      <w:r>
        <w:separator/>
      </w:r>
    </w:p>
  </w:footnote>
  <w:footnote w:type="continuationSeparator" w:id="0">
    <w:p w:rsidR="000B4CB2" w:rsidRDefault="000B4CB2" w:rsidP="00493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3038"/>
    <w:multiLevelType w:val="hybridMultilevel"/>
    <w:tmpl w:val="11D8F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D0DA6"/>
    <w:multiLevelType w:val="hybridMultilevel"/>
    <w:tmpl w:val="A97C8F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84687"/>
    <w:multiLevelType w:val="hybridMultilevel"/>
    <w:tmpl w:val="BF3E307E"/>
    <w:lvl w:ilvl="0" w:tplc="4488A87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779BD"/>
    <w:multiLevelType w:val="hybridMultilevel"/>
    <w:tmpl w:val="0ED46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72779"/>
    <w:multiLevelType w:val="hybridMultilevel"/>
    <w:tmpl w:val="0AFCADD6"/>
    <w:lvl w:ilvl="0" w:tplc="4488A87A">
      <w:start w:val="1"/>
      <w:numFmt w:val="bullet"/>
      <w:lvlText w:val=""/>
      <w:lvlJc w:val="left"/>
      <w:pPr>
        <w:ind w:left="1122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5">
    <w:nsid w:val="1FD14B9F"/>
    <w:multiLevelType w:val="hybridMultilevel"/>
    <w:tmpl w:val="BA7CDFD8"/>
    <w:lvl w:ilvl="0" w:tplc="4488A87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F4FD8"/>
    <w:multiLevelType w:val="hybridMultilevel"/>
    <w:tmpl w:val="EB3CE940"/>
    <w:lvl w:ilvl="0" w:tplc="4488A87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CF1D5B"/>
    <w:multiLevelType w:val="hybridMultilevel"/>
    <w:tmpl w:val="A03A6BE2"/>
    <w:lvl w:ilvl="0" w:tplc="4488A87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863ACD"/>
    <w:multiLevelType w:val="hybridMultilevel"/>
    <w:tmpl w:val="366C4826"/>
    <w:lvl w:ilvl="0" w:tplc="4488A87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AB21A5"/>
    <w:multiLevelType w:val="hybridMultilevel"/>
    <w:tmpl w:val="F53A4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B5DD6"/>
    <w:multiLevelType w:val="hybridMultilevel"/>
    <w:tmpl w:val="6774430A"/>
    <w:lvl w:ilvl="0" w:tplc="4488A87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882EFB"/>
    <w:multiLevelType w:val="hybridMultilevel"/>
    <w:tmpl w:val="36189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F80DA3"/>
    <w:multiLevelType w:val="hybridMultilevel"/>
    <w:tmpl w:val="D2602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20D99"/>
    <w:multiLevelType w:val="hybridMultilevel"/>
    <w:tmpl w:val="CD62BA74"/>
    <w:lvl w:ilvl="0" w:tplc="4488A87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72043E"/>
    <w:multiLevelType w:val="hybridMultilevel"/>
    <w:tmpl w:val="EA066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9F18D3"/>
    <w:multiLevelType w:val="hybridMultilevel"/>
    <w:tmpl w:val="F5A458D0"/>
    <w:lvl w:ilvl="0" w:tplc="4488A87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A92B7F"/>
    <w:multiLevelType w:val="hybridMultilevel"/>
    <w:tmpl w:val="A28EAA38"/>
    <w:lvl w:ilvl="0" w:tplc="4488A87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224B35"/>
    <w:multiLevelType w:val="hybridMultilevel"/>
    <w:tmpl w:val="C4D83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3"/>
  </w:num>
  <w:num w:numId="5">
    <w:abstractNumId w:val="15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  <w:num w:numId="11">
    <w:abstractNumId w:val="16"/>
  </w:num>
  <w:num w:numId="12">
    <w:abstractNumId w:val="3"/>
  </w:num>
  <w:num w:numId="13">
    <w:abstractNumId w:val="9"/>
  </w:num>
  <w:num w:numId="14">
    <w:abstractNumId w:val="10"/>
  </w:num>
  <w:num w:numId="15">
    <w:abstractNumId w:val="11"/>
  </w:num>
  <w:num w:numId="16">
    <w:abstractNumId w:val="1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7D"/>
    <w:rsid w:val="0001200D"/>
    <w:rsid w:val="000B4CB2"/>
    <w:rsid w:val="000E7CC4"/>
    <w:rsid w:val="001C0B85"/>
    <w:rsid w:val="00331F0C"/>
    <w:rsid w:val="003C28FB"/>
    <w:rsid w:val="0049375C"/>
    <w:rsid w:val="00735E02"/>
    <w:rsid w:val="007973F0"/>
    <w:rsid w:val="0096337D"/>
    <w:rsid w:val="00A503DC"/>
    <w:rsid w:val="00C173DE"/>
    <w:rsid w:val="00C952E7"/>
    <w:rsid w:val="00CD25F1"/>
    <w:rsid w:val="00D67604"/>
    <w:rsid w:val="00DC66AC"/>
    <w:rsid w:val="00EA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3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F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375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75C"/>
  </w:style>
  <w:style w:type="paragraph" w:styleId="Footer">
    <w:name w:val="footer"/>
    <w:basedOn w:val="Normal"/>
    <w:link w:val="FooterChar"/>
    <w:uiPriority w:val="99"/>
    <w:unhideWhenUsed/>
    <w:rsid w:val="0049375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3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F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375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75C"/>
  </w:style>
  <w:style w:type="paragraph" w:styleId="Footer">
    <w:name w:val="footer"/>
    <w:basedOn w:val="Normal"/>
    <w:link w:val="FooterChar"/>
    <w:uiPriority w:val="99"/>
    <w:unhideWhenUsed/>
    <w:rsid w:val="0049375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2012-10-03T19:16:00Z</cp:lastPrinted>
  <dcterms:created xsi:type="dcterms:W3CDTF">2012-12-07T12:36:00Z</dcterms:created>
  <dcterms:modified xsi:type="dcterms:W3CDTF">2012-12-07T12:36:00Z</dcterms:modified>
</cp:coreProperties>
</file>